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A448">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81317635"/>
      <w:bookmarkStart w:id="1" w:name="_Toc7421872"/>
      <w:bookmarkStart w:id="2" w:name="_Toc23682"/>
      <w:r>
        <w:rPr>
          <w:rFonts w:hint="eastAsia" w:asciiTheme="minorEastAsia" w:hAnsiTheme="minorEastAsia" w:eastAsiaTheme="minorEastAsia" w:cstheme="minorEastAsia"/>
          <w:sz w:val="44"/>
          <w:szCs w:val="44"/>
          <w:highlight w:val="none"/>
          <w:u w:val="single"/>
          <w:lang w:val="en-US" w:eastAsia="zh-CN"/>
        </w:rPr>
        <w:t>重庆烟叶复烤有限公司“十二五”易地技术改造项目-北侧道路零星项目（项目名称）</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沥青混凝土专业分包</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6"/>
        <w:rPr>
          <w:rFonts w:hint="eastAsia" w:asciiTheme="minorEastAsia" w:hAnsiTheme="minorEastAsia" w:eastAsiaTheme="minorEastAsia" w:cstheme="minorEastAsia"/>
        </w:rPr>
      </w:pPr>
    </w:p>
    <w:p w14:paraId="3C439A0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5 月  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比选须知</w:t>
      </w:r>
    </w:p>
    <w:p w14:paraId="6913FEEC">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3D8FF8C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项目名称：重庆烟叶复烤有限公司“十二五”易地技术改造项目-北侧道路零星项目</w:t>
      </w:r>
    </w:p>
    <w:p w14:paraId="2769BA7E">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项目地址：巴南区</w:t>
      </w:r>
    </w:p>
    <w:p w14:paraId="77BDA2F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工期：60</w:t>
      </w:r>
      <w:r>
        <w:rPr>
          <w:rFonts w:hint="eastAsia" w:asciiTheme="minorEastAsia" w:hAnsiTheme="minorEastAsia" w:eastAsiaTheme="minorEastAsia" w:cstheme="minorEastAsia"/>
          <w:color w:val="auto"/>
          <w:kern w:val="2"/>
          <w:sz w:val="28"/>
          <w:szCs w:val="28"/>
          <w:highlight w:val="none"/>
          <w:lang w:val="en-US" w:eastAsia="zh-CN" w:bidi="ar-SA"/>
        </w:rPr>
        <w:t>天</w:t>
      </w:r>
      <w:r>
        <w:rPr>
          <w:rFonts w:hint="eastAsia" w:asciiTheme="minorEastAsia" w:hAnsiTheme="minorEastAsia" w:eastAsiaTheme="minorEastAsia" w:cstheme="minorEastAsia"/>
          <w:color w:val="auto"/>
          <w:sz w:val="28"/>
          <w:szCs w:val="28"/>
          <w:highlight w:val="none"/>
          <w:lang w:val="en-US" w:eastAsia="zh-CN"/>
        </w:rPr>
        <w:t>。</w:t>
      </w:r>
    </w:p>
    <w:p w14:paraId="353D3531">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比选内容：沥青混凝土专业分包</w:t>
      </w:r>
    </w:p>
    <w:p w14:paraId="5F8503D1">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lang w:val="en-US" w:eastAsia="zh-CN"/>
        </w:rPr>
      </w:pPr>
      <w:r>
        <w:rPr>
          <w:rFonts w:hint="eastAsia" w:asciiTheme="minorEastAsia" w:hAnsiTheme="minorEastAsia" w:eastAsiaTheme="minorEastAsia" w:cstheme="minorEastAsia"/>
          <w:color w:val="auto"/>
          <w:kern w:val="2"/>
          <w:sz w:val="28"/>
          <w:szCs w:val="28"/>
          <w:highlight w:val="none"/>
          <w:lang w:val="en-US" w:eastAsia="zh-CN" w:bidi="ar-SA"/>
        </w:rPr>
        <w:t>工作内容：清理下承面;拌和、运输;摊铺、整型;压实。</w:t>
      </w:r>
    </w:p>
    <w:p w14:paraId="0F12ACDF">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比选文件获取</w:t>
      </w:r>
    </w:p>
    <w:p w14:paraId="3C21681D">
      <w:pPr>
        <w:numPr>
          <w:ilvl w:val="0"/>
          <w:numId w:val="0"/>
        </w:numPr>
        <w:rPr>
          <w:rFonts w:hint="default"/>
          <w:lang w:val="en-US" w:eastAsia="zh-CN"/>
        </w:rPr>
      </w:pPr>
      <w:r>
        <w:rPr>
          <w:rFonts w:hint="eastAsia"/>
          <w:lang w:val="en-US" w:eastAsia="zh-CN"/>
        </w:rPr>
        <w:t xml:space="preserve"> </w:t>
      </w:r>
      <w:r>
        <w:rPr>
          <w:rFonts w:hint="eastAsia" w:asciiTheme="minorEastAsia" w:hAnsiTheme="minorEastAsia" w:eastAsiaTheme="minorEastAsia" w:cstheme="minorEastAsia"/>
          <w:sz w:val="28"/>
          <w:szCs w:val="28"/>
          <w:lang w:val="en-US" w:eastAsia="zh-CN"/>
        </w:rPr>
        <w:t xml:space="preserve">   本次比选活动方式为邀请招标，邀请方式为电子邮箱通知。</w:t>
      </w:r>
    </w:p>
    <w:p w14:paraId="2E32929B">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三、报价要求</w:t>
      </w:r>
    </w:p>
    <w:p w14:paraId="0AD4209F">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报价包含单价含13%增值税专用发票，提供材料合格证、道路接缝处收口材料</w:t>
      </w:r>
      <w:r>
        <w:rPr>
          <w:rFonts w:hint="eastAsia" w:asciiTheme="minorEastAsia" w:hAnsiTheme="minorEastAsia" w:eastAsiaTheme="minorEastAsia" w:cstheme="minorEastAsia"/>
          <w:kern w:val="2"/>
          <w:sz w:val="28"/>
          <w:szCs w:val="28"/>
          <w:lang w:val="en-US" w:eastAsia="zh-CN" w:bidi="ar-SA"/>
        </w:rPr>
        <w:t>。</w:t>
      </w:r>
    </w:p>
    <w:p w14:paraId="4470D78E">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发票要求：本工程须开具1</w:t>
      </w:r>
      <w:r>
        <w:rPr>
          <w:rFonts w:hint="eastAsia" w:asciiTheme="minorEastAsia" w:hAnsiTheme="minorEastAsia" w:eastAsiaTheme="minorEastAsia" w:cstheme="minorEastAsia"/>
          <w:kern w:val="2"/>
          <w:sz w:val="28"/>
          <w:szCs w:val="28"/>
          <w:highlight w:val="none"/>
          <w:lang w:val="en-US" w:eastAsia="zh-CN" w:bidi="ar-SA"/>
        </w:rPr>
        <w:t>3%以上增值</w:t>
      </w:r>
      <w:r>
        <w:rPr>
          <w:rFonts w:hint="eastAsia" w:asciiTheme="minorEastAsia" w:hAnsiTheme="minorEastAsia" w:eastAsiaTheme="minorEastAsia" w:cstheme="minorEastAsia"/>
          <w:kern w:val="2"/>
          <w:sz w:val="28"/>
          <w:szCs w:val="28"/>
          <w:lang w:val="en-US" w:eastAsia="zh-CN" w:bidi="ar-SA"/>
        </w:rPr>
        <w:t>税专用发票，</w:t>
      </w:r>
      <w:r>
        <w:rPr>
          <w:rFonts w:hint="eastAsia" w:asciiTheme="minorEastAsia" w:hAnsiTheme="minorEastAsia" w:eastAsiaTheme="minorEastAsia" w:cstheme="minorEastAsia"/>
          <w:color w:val="auto"/>
          <w:kern w:val="2"/>
          <w:sz w:val="28"/>
          <w:szCs w:val="28"/>
          <w:highlight w:val="none"/>
          <w:lang w:val="en-US" w:eastAsia="zh-CN" w:bidi="ar-SA"/>
        </w:rPr>
        <w:t>支付材料款时，乙方必须提供增值税发票。否则甲方有权拒绝付款，且不承担任何责任。</w:t>
      </w:r>
    </w:p>
    <w:p w14:paraId="231B3071">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w:t>
      </w:r>
      <w:r>
        <w:rPr>
          <w:rFonts w:hint="eastAsia" w:asciiTheme="minorEastAsia" w:hAnsiTheme="minorEastAsia" w:eastAsiaTheme="minorEastAsia" w:cstheme="minorEastAsia"/>
          <w:color w:val="auto"/>
          <w:kern w:val="2"/>
          <w:sz w:val="28"/>
          <w:szCs w:val="28"/>
          <w:lang w:val="en-US" w:eastAsia="zh-CN" w:bidi="ar-SA"/>
        </w:rPr>
        <w:t>单项限价详见附件1（限价清单）</w:t>
      </w:r>
      <w:r>
        <w:rPr>
          <w:rFonts w:hint="eastAsia" w:asciiTheme="minorEastAsia" w:hAnsiTheme="minorEastAsia" w:eastAsiaTheme="minorEastAsia" w:cstheme="minorEastAsia"/>
          <w:color w:val="auto"/>
          <w:kern w:val="2"/>
          <w:sz w:val="28"/>
          <w:szCs w:val="28"/>
          <w:vertAlign w:val="baseline"/>
          <w:lang w:val="en-US" w:eastAsia="zh-CN" w:bidi="ar-SA"/>
        </w:rPr>
        <w:t>，</w:t>
      </w:r>
      <w:r>
        <w:rPr>
          <w:rFonts w:hint="eastAsia" w:asciiTheme="minorEastAsia" w:hAnsiTheme="minorEastAsia" w:eastAsiaTheme="minorEastAsia" w:cstheme="minorEastAsia"/>
          <w:color w:val="auto"/>
          <w:kern w:val="2"/>
          <w:sz w:val="28"/>
          <w:szCs w:val="28"/>
          <w:highlight w:val="none"/>
          <w:lang w:val="en-US" w:eastAsia="zh-CN" w:bidi="ar-SA"/>
        </w:rPr>
        <w:t>报价单位的每项清单综合单价报价不得超过每项清单综合单价最高限价，否则由评标委员会作否决投标处理。</w:t>
      </w:r>
    </w:p>
    <w:p w14:paraId="5E7B4271">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53847125">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40FD5C9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4.2法定代表人参加报价活动并签署文件的不需要授权委托书，只需提供法定代表人身份证明；非法定代表人参加报价活动及签署文件的须提供授权委托书、委托代理人身份证原件。</w:t>
      </w:r>
    </w:p>
    <w:p w14:paraId="1BEA7493">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w:t>
      </w:r>
    </w:p>
    <w:p w14:paraId="1D5AA407">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报价文件递交开始时间：2025年 5 月22日10:00（含10:00）。</w:t>
      </w:r>
    </w:p>
    <w:p w14:paraId="4F4AF1CF">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 5 月22日10:30（含10:30）。</w:t>
      </w:r>
    </w:p>
    <w:p w14:paraId="52DBBE4A">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bookmarkStart w:id="12" w:name="_GoBack"/>
      <w:bookmarkEnd w:id="12"/>
    </w:p>
    <w:p w14:paraId="21386AE6">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评审办法：最低含税总价。</w:t>
      </w:r>
    </w:p>
    <w:p w14:paraId="37F14EA0">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最终结算金额=实际完成工程量×投标综合单价。</w:t>
      </w:r>
    </w:p>
    <w:p w14:paraId="37AC5F99">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工程款支付：对账周期一个月，对账完成后付至对账金额的97%，剩余3%待2年质保期满后支付</w:t>
      </w:r>
      <w:r>
        <w:rPr>
          <w:rFonts w:hint="eastAsia" w:asciiTheme="minorEastAsia" w:hAnsiTheme="minorEastAsia" w:eastAsiaTheme="minorEastAsia" w:cstheme="minorEastAsia"/>
          <w:sz w:val="28"/>
          <w:szCs w:val="28"/>
          <w:highlight w:val="none"/>
          <w:lang w:val="en-US" w:eastAsia="zh-CN"/>
        </w:rPr>
        <w:t>。</w:t>
      </w:r>
    </w:p>
    <w:p w14:paraId="6A30D36E">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四、投标人有下列情形之一的不得参与本次投标：</w:t>
      </w:r>
    </w:p>
    <w:p w14:paraId="53916E95">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1. 投标人在入库过程中，存在资质、人员、业绩等资料造假行为； </w:t>
      </w:r>
    </w:p>
    <w:p w14:paraId="2E57FD36">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 投标人允许他人通过挂靠以本单位名义参与承包商抽取；</w:t>
      </w:r>
    </w:p>
    <w:p w14:paraId="6105FFD7">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 投标人参与选择过程中无故放弃参选资格；</w:t>
      </w:r>
    </w:p>
    <w:p w14:paraId="4F6509AA">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 投标人将中选项目转包、违法分包；</w:t>
      </w:r>
    </w:p>
    <w:p w14:paraId="5CE4D372">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 投标人中选后无正当理由放弃中选资格；</w:t>
      </w:r>
    </w:p>
    <w:p w14:paraId="55CA22E4">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 投标人合同签订后以各种理由不进场施工或者中途擅自停工；</w:t>
      </w:r>
    </w:p>
    <w:p w14:paraId="303D233C">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 投标人施工过程中出现重大质量安全事故；</w:t>
      </w:r>
    </w:p>
    <w:p w14:paraId="78A13FDC">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 投标人存在涉黑涉恶、失信及其他违法违规等行为；</w:t>
      </w:r>
    </w:p>
    <w:p w14:paraId="2FF291F1">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9. 投标人起诉招标人及母公司或控股子公司引起法律纠纷案件的；</w:t>
      </w:r>
    </w:p>
    <w:p w14:paraId="49200137">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10.因投标人下属班组、工人将招标人及母公司、控股子公司起诉，且不积极处置；</w:t>
      </w:r>
    </w:p>
    <w:p w14:paraId="28709A01">
      <w:pPr>
        <w:rPr>
          <w:rFonts w:hint="eastAsia" w:asciiTheme="minorEastAsia" w:hAnsiTheme="minorEastAsia" w:eastAsiaTheme="minorEastAsia" w:cstheme="minorEastAsia"/>
          <w:sz w:val="28"/>
          <w:szCs w:val="28"/>
          <w:highlight w:val="none"/>
          <w:lang w:val="en-US" w:eastAsia="zh-CN"/>
        </w:rPr>
        <w:sectPr>
          <w:pgSz w:w="11906" w:h="16838"/>
          <w:pgMar w:top="1383"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8"/>
          <w:szCs w:val="28"/>
          <w:highlight w:val="none"/>
          <w:lang w:val="en-US" w:eastAsia="zh-CN"/>
        </w:rPr>
        <w:t>11. 有关行业主管部门认定的其他情形。</w:t>
      </w:r>
    </w:p>
    <w:p w14:paraId="0BFE9B4B">
      <w:pPr>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tbl>
      <w:tblPr>
        <w:tblStyle w:val="12"/>
        <w:tblpPr w:leftFromText="180" w:rightFromText="180" w:vertAnchor="text" w:horzAnchor="page" w:tblpX="820" w:tblpY="1301"/>
        <w:tblOverlap w:val="neve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890"/>
        <w:gridCol w:w="2655"/>
        <w:gridCol w:w="945"/>
        <w:gridCol w:w="1050"/>
        <w:gridCol w:w="1125"/>
        <w:gridCol w:w="1935"/>
      </w:tblGrid>
      <w:tr w14:paraId="168C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155" w:type="dxa"/>
            <w:gridSpan w:val="7"/>
            <w:vMerge w:val="restart"/>
            <w:tcBorders>
              <w:top w:val="nil"/>
              <w:left w:val="nil"/>
              <w:bottom w:val="nil"/>
              <w:right w:val="nil"/>
            </w:tcBorders>
            <w:shd w:val="clear" w:color="auto" w:fill="auto"/>
            <w:vAlign w:val="center"/>
          </w:tcPr>
          <w:p w14:paraId="238C2D8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重庆烟叶复烤有限公司“十二五”易地技术改造项目-北侧道路零星项目沥青混凝土专业分包（包工包料）限价</w:t>
            </w:r>
          </w:p>
        </w:tc>
      </w:tr>
      <w:tr w14:paraId="416D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155" w:type="dxa"/>
            <w:gridSpan w:val="7"/>
            <w:vMerge w:val="continue"/>
            <w:tcBorders>
              <w:top w:val="nil"/>
              <w:left w:val="nil"/>
              <w:bottom w:val="nil"/>
              <w:right w:val="nil"/>
            </w:tcBorders>
            <w:shd w:val="clear" w:color="auto" w:fill="auto"/>
            <w:vAlign w:val="center"/>
          </w:tcPr>
          <w:p w14:paraId="7576BBDD">
            <w:pPr>
              <w:jc w:val="center"/>
              <w:rPr>
                <w:rFonts w:hint="eastAsia" w:ascii="宋体" w:hAnsi="宋体" w:eastAsia="宋体" w:cs="宋体"/>
                <w:b/>
                <w:bCs/>
                <w:i w:val="0"/>
                <w:iCs w:val="0"/>
                <w:color w:val="000000"/>
                <w:sz w:val="28"/>
                <w:szCs w:val="28"/>
                <w:u w:val="none"/>
              </w:rPr>
            </w:pPr>
          </w:p>
        </w:tc>
      </w:tr>
      <w:tr w14:paraId="0964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55" w:type="dxa"/>
            <w:gridSpan w:val="7"/>
            <w:vMerge w:val="continue"/>
            <w:tcBorders>
              <w:top w:val="nil"/>
              <w:left w:val="nil"/>
              <w:bottom w:val="nil"/>
              <w:right w:val="nil"/>
            </w:tcBorders>
            <w:shd w:val="clear" w:color="auto" w:fill="auto"/>
            <w:vAlign w:val="center"/>
          </w:tcPr>
          <w:p w14:paraId="5704C6D6">
            <w:pPr>
              <w:jc w:val="center"/>
              <w:rPr>
                <w:rFonts w:hint="eastAsia" w:ascii="宋体" w:hAnsi="宋体" w:eastAsia="宋体" w:cs="宋体"/>
                <w:b/>
                <w:bCs/>
                <w:i w:val="0"/>
                <w:iCs w:val="0"/>
                <w:color w:val="000000"/>
                <w:sz w:val="28"/>
                <w:szCs w:val="28"/>
                <w:u w:val="none"/>
              </w:rPr>
            </w:pPr>
          </w:p>
        </w:tc>
      </w:tr>
      <w:tr w14:paraId="080D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5" w:type="dxa"/>
            <w:vMerge w:val="restart"/>
            <w:tcBorders>
              <w:top w:val="single" w:color="000000" w:sz="4" w:space="0"/>
              <w:left w:val="single" w:color="000000" w:sz="4" w:space="0"/>
              <w:bottom w:val="nil"/>
              <w:right w:val="single" w:color="000000" w:sz="4" w:space="0"/>
            </w:tcBorders>
            <w:shd w:val="clear" w:color="auto" w:fill="auto"/>
            <w:vAlign w:val="center"/>
          </w:tcPr>
          <w:p w14:paraId="60864E9A">
            <w:pPr>
              <w:keepNext w:val="0"/>
              <w:keepLines w:val="0"/>
              <w:widowControl/>
              <w:suppressLineNumbers w:val="0"/>
              <w:jc w:val="center"/>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序号</w:t>
            </w:r>
          </w:p>
        </w:tc>
        <w:tc>
          <w:tcPr>
            <w:tcW w:w="1890" w:type="dxa"/>
            <w:vMerge w:val="restart"/>
            <w:tcBorders>
              <w:top w:val="single" w:color="000000" w:sz="4" w:space="0"/>
              <w:left w:val="single" w:color="000000" w:sz="4" w:space="0"/>
              <w:bottom w:val="nil"/>
              <w:right w:val="single" w:color="000000" w:sz="4" w:space="0"/>
            </w:tcBorders>
            <w:shd w:val="clear" w:color="auto" w:fill="auto"/>
            <w:vAlign w:val="center"/>
          </w:tcPr>
          <w:p w14:paraId="713978EB">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名称</w:t>
            </w:r>
          </w:p>
        </w:tc>
        <w:tc>
          <w:tcPr>
            <w:tcW w:w="2655" w:type="dxa"/>
            <w:vMerge w:val="restart"/>
            <w:tcBorders>
              <w:top w:val="single" w:color="000000" w:sz="4" w:space="0"/>
              <w:left w:val="single" w:color="000000" w:sz="4" w:space="0"/>
              <w:bottom w:val="nil"/>
              <w:right w:val="single" w:color="000000" w:sz="4" w:space="0"/>
            </w:tcBorders>
            <w:shd w:val="clear" w:color="auto" w:fill="auto"/>
            <w:vAlign w:val="center"/>
          </w:tcPr>
          <w:p w14:paraId="1C8F539B">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项目特征</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114050D2">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14:paraId="33082B76">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工程量</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DB7DC">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限价</w:t>
            </w:r>
          </w:p>
        </w:tc>
        <w:tc>
          <w:tcPr>
            <w:tcW w:w="1935" w:type="dxa"/>
            <w:vMerge w:val="restart"/>
            <w:tcBorders>
              <w:top w:val="single" w:color="000000" w:sz="4" w:space="0"/>
              <w:left w:val="nil"/>
              <w:bottom w:val="single" w:color="000000" w:sz="4" w:space="0"/>
              <w:right w:val="single" w:color="000000" w:sz="4" w:space="0"/>
            </w:tcBorders>
            <w:shd w:val="clear" w:color="auto" w:fill="auto"/>
            <w:vAlign w:val="center"/>
          </w:tcPr>
          <w:p w14:paraId="388AB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EA3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69421971">
            <w:pPr>
              <w:jc w:val="center"/>
              <w:rPr>
                <w:rFonts w:hint="eastAsia" w:ascii="方正楷体_GBK" w:hAnsi="方正楷体_GBK" w:eastAsia="方正楷体_GBK" w:cs="方正楷体_GBK"/>
                <w:i w:val="0"/>
                <w:iCs w:val="0"/>
                <w:color w:val="000000"/>
                <w:sz w:val="20"/>
                <w:szCs w:val="20"/>
                <w:u w:val="none"/>
              </w:rPr>
            </w:pPr>
          </w:p>
        </w:tc>
        <w:tc>
          <w:tcPr>
            <w:tcW w:w="1890" w:type="dxa"/>
            <w:vMerge w:val="continue"/>
            <w:tcBorders>
              <w:top w:val="single" w:color="000000" w:sz="4" w:space="0"/>
              <w:left w:val="single" w:color="000000" w:sz="4" w:space="0"/>
              <w:bottom w:val="nil"/>
              <w:right w:val="single" w:color="000000" w:sz="4" w:space="0"/>
            </w:tcBorders>
            <w:shd w:val="clear" w:color="auto" w:fill="auto"/>
            <w:vAlign w:val="center"/>
          </w:tcPr>
          <w:p w14:paraId="3B61A3E6">
            <w:pPr>
              <w:jc w:val="center"/>
              <w:rPr>
                <w:rFonts w:hint="eastAsia" w:ascii="方正楷体_GBK" w:hAnsi="方正楷体_GBK" w:eastAsia="方正楷体_GBK" w:cs="方正楷体_GBK"/>
                <w:i w:val="0"/>
                <w:iCs w:val="0"/>
                <w:color w:val="000000"/>
                <w:sz w:val="20"/>
                <w:szCs w:val="20"/>
                <w:u w:val="none"/>
              </w:rPr>
            </w:pPr>
          </w:p>
        </w:tc>
        <w:tc>
          <w:tcPr>
            <w:tcW w:w="2655" w:type="dxa"/>
            <w:vMerge w:val="continue"/>
            <w:tcBorders>
              <w:top w:val="single" w:color="000000" w:sz="4" w:space="0"/>
              <w:left w:val="single" w:color="000000" w:sz="4" w:space="0"/>
              <w:bottom w:val="nil"/>
              <w:right w:val="single" w:color="000000" w:sz="4" w:space="0"/>
            </w:tcBorders>
            <w:shd w:val="clear" w:color="auto" w:fill="auto"/>
            <w:vAlign w:val="center"/>
          </w:tcPr>
          <w:p w14:paraId="0F1A7000">
            <w:pPr>
              <w:jc w:val="center"/>
              <w:rPr>
                <w:rFonts w:hint="eastAsia" w:ascii="方正楷体_GBK" w:hAnsi="方正楷体_GBK" w:eastAsia="方正楷体_GBK" w:cs="方正楷体_GBK"/>
                <w:i w:val="0"/>
                <w:iCs w:val="0"/>
                <w:color w:val="000000"/>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301FA4D">
            <w:pPr>
              <w:jc w:val="center"/>
              <w:rPr>
                <w:rFonts w:hint="eastAsia" w:ascii="方正楷体_GBK" w:hAnsi="方正楷体_GBK" w:eastAsia="方正楷体_GBK" w:cs="方正楷体_GBK"/>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14:paraId="5A9BD2A1">
            <w:pPr>
              <w:jc w:val="center"/>
              <w:rPr>
                <w:rFonts w:hint="eastAsia" w:ascii="方正楷体_GBK" w:hAnsi="方正楷体_GBK" w:eastAsia="方正楷体_GBK" w:cs="方正楷体_GBK"/>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466F">
            <w:pPr>
              <w:jc w:val="center"/>
              <w:rPr>
                <w:rFonts w:hint="eastAsia" w:ascii="方正楷体_GBK" w:hAnsi="方正楷体_GBK" w:eastAsia="方正楷体_GBK" w:cs="方正楷体_GBK"/>
                <w:i w:val="0"/>
                <w:iCs w:val="0"/>
                <w:color w:val="000000"/>
                <w:sz w:val="20"/>
                <w:szCs w:val="20"/>
                <w:u w:val="none"/>
              </w:rPr>
            </w:pPr>
          </w:p>
        </w:tc>
        <w:tc>
          <w:tcPr>
            <w:tcW w:w="1935" w:type="dxa"/>
            <w:vMerge w:val="continue"/>
            <w:tcBorders>
              <w:top w:val="single" w:color="000000" w:sz="4" w:space="0"/>
              <w:left w:val="nil"/>
              <w:bottom w:val="single" w:color="000000" w:sz="4" w:space="0"/>
              <w:right w:val="single" w:color="000000" w:sz="4" w:space="0"/>
            </w:tcBorders>
            <w:shd w:val="clear" w:color="auto" w:fill="auto"/>
            <w:vAlign w:val="center"/>
          </w:tcPr>
          <w:p w14:paraId="36514EA6">
            <w:pPr>
              <w:jc w:val="center"/>
              <w:rPr>
                <w:rFonts w:hint="eastAsia" w:ascii="宋体" w:hAnsi="宋体" w:eastAsia="宋体" w:cs="宋体"/>
                <w:i w:val="0"/>
                <w:iCs w:val="0"/>
                <w:color w:val="000000"/>
                <w:sz w:val="20"/>
                <w:szCs w:val="20"/>
                <w:u w:val="none"/>
              </w:rPr>
            </w:pPr>
          </w:p>
        </w:tc>
      </w:tr>
      <w:tr w14:paraId="3127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4B78D75D">
            <w:pPr>
              <w:jc w:val="center"/>
              <w:rPr>
                <w:rFonts w:hint="eastAsia" w:ascii="方正楷体_GBK" w:hAnsi="方正楷体_GBK" w:eastAsia="方正楷体_GBK" w:cs="方正楷体_GBK"/>
                <w:i w:val="0"/>
                <w:iCs w:val="0"/>
                <w:color w:val="000000"/>
                <w:sz w:val="20"/>
                <w:szCs w:val="20"/>
                <w:u w:val="none"/>
              </w:rPr>
            </w:pPr>
          </w:p>
        </w:tc>
        <w:tc>
          <w:tcPr>
            <w:tcW w:w="1890" w:type="dxa"/>
            <w:vMerge w:val="continue"/>
            <w:tcBorders>
              <w:top w:val="single" w:color="000000" w:sz="4" w:space="0"/>
              <w:left w:val="single" w:color="000000" w:sz="4" w:space="0"/>
              <w:bottom w:val="nil"/>
              <w:right w:val="single" w:color="000000" w:sz="4" w:space="0"/>
            </w:tcBorders>
            <w:shd w:val="clear" w:color="auto" w:fill="auto"/>
            <w:vAlign w:val="center"/>
          </w:tcPr>
          <w:p w14:paraId="36001ABB">
            <w:pPr>
              <w:jc w:val="center"/>
              <w:rPr>
                <w:rFonts w:hint="eastAsia" w:ascii="方正楷体_GBK" w:hAnsi="方正楷体_GBK" w:eastAsia="方正楷体_GBK" w:cs="方正楷体_GBK"/>
                <w:i w:val="0"/>
                <w:iCs w:val="0"/>
                <w:color w:val="000000"/>
                <w:sz w:val="20"/>
                <w:szCs w:val="20"/>
                <w:u w:val="none"/>
              </w:rPr>
            </w:pPr>
          </w:p>
        </w:tc>
        <w:tc>
          <w:tcPr>
            <w:tcW w:w="2655" w:type="dxa"/>
            <w:vMerge w:val="continue"/>
            <w:tcBorders>
              <w:top w:val="single" w:color="000000" w:sz="4" w:space="0"/>
              <w:left w:val="single" w:color="000000" w:sz="4" w:space="0"/>
              <w:bottom w:val="nil"/>
              <w:right w:val="single" w:color="000000" w:sz="4" w:space="0"/>
            </w:tcBorders>
            <w:shd w:val="clear" w:color="auto" w:fill="auto"/>
            <w:vAlign w:val="center"/>
          </w:tcPr>
          <w:p w14:paraId="20DAA56F">
            <w:pPr>
              <w:jc w:val="center"/>
              <w:rPr>
                <w:rFonts w:hint="eastAsia" w:ascii="方正楷体_GBK" w:hAnsi="方正楷体_GBK" w:eastAsia="方正楷体_GBK" w:cs="方正楷体_GBK"/>
                <w:i w:val="0"/>
                <w:iCs w:val="0"/>
                <w:color w:val="000000"/>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F316789">
            <w:pPr>
              <w:jc w:val="center"/>
              <w:rPr>
                <w:rFonts w:hint="eastAsia" w:ascii="方正楷体_GBK" w:hAnsi="方正楷体_GBK" w:eastAsia="方正楷体_GBK" w:cs="方正楷体_GBK"/>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14:paraId="78C245AB">
            <w:pPr>
              <w:jc w:val="center"/>
              <w:rPr>
                <w:rFonts w:hint="eastAsia" w:ascii="方正楷体_GBK" w:hAnsi="方正楷体_GBK" w:eastAsia="方正楷体_GBK" w:cs="方正楷体_GBK"/>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44BF0">
            <w:pPr>
              <w:jc w:val="center"/>
              <w:rPr>
                <w:rFonts w:hint="eastAsia" w:ascii="方正楷体_GBK" w:hAnsi="方正楷体_GBK" w:eastAsia="方正楷体_GBK" w:cs="方正楷体_GBK"/>
                <w:i w:val="0"/>
                <w:iCs w:val="0"/>
                <w:color w:val="000000"/>
                <w:sz w:val="20"/>
                <w:szCs w:val="20"/>
                <w:u w:val="none"/>
              </w:rPr>
            </w:pPr>
          </w:p>
        </w:tc>
        <w:tc>
          <w:tcPr>
            <w:tcW w:w="1935" w:type="dxa"/>
            <w:vMerge w:val="continue"/>
            <w:tcBorders>
              <w:top w:val="single" w:color="000000" w:sz="4" w:space="0"/>
              <w:left w:val="nil"/>
              <w:bottom w:val="single" w:color="000000" w:sz="4" w:space="0"/>
              <w:right w:val="single" w:color="000000" w:sz="4" w:space="0"/>
            </w:tcBorders>
            <w:shd w:val="clear" w:color="auto" w:fill="auto"/>
            <w:vAlign w:val="center"/>
          </w:tcPr>
          <w:p w14:paraId="0CFA6388">
            <w:pPr>
              <w:jc w:val="center"/>
              <w:rPr>
                <w:rFonts w:hint="eastAsia" w:ascii="宋体" w:hAnsi="宋体" w:eastAsia="宋体" w:cs="宋体"/>
                <w:i w:val="0"/>
                <w:iCs w:val="0"/>
                <w:color w:val="000000"/>
                <w:sz w:val="20"/>
                <w:szCs w:val="20"/>
                <w:u w:val="none"/>
              </w:rPr>
            </w:pPr>
          </w:p>
        </w:tc>
      </w:tr>
      <w:tr w14:paraId="706D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6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5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乳化沥青封层</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D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1.材料品种:乳化沥青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2.喷油量:0.8-1.1L/m2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3.厚度:根据设计要求结合相关规范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2.喷油、布料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9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D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E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08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单价含13%增值税专用发票，提供材料合格证、道路接缝处收口材料</w:t>
            </w:r>
          </w:p>
        </w:tc>
      </w:tr>
      <w:tr w14:paraId="4824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E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B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下面层沥青混凝土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8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1.沥青混凝土种类:中粒式AC20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2.石料粒径:满足设计及规范要求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3.掺和料:满足设计及规范要求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4.厚度:80MM厚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2.拌和、运输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3.摊铺、整型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7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E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4400">
            <w:pPr>
              <w:jc w:val="center"/>
              <w:rPr>
                <w:rFonts w:hint="eastAsia" w:ascii="宋体" w:hAnsi="宋体" w:eastAsia="宋体" w:cs="宋体"/>
                <w:i w:val="0"/>
                <w:iCs w:val="0"/>
                <w:color w:val="000000"/>
                <w:sz w:val="18"/>
                <w:szCs w:val="18"/>
                <w:u w:val="none"/>
              </w:rPr>
            </w:pPr>
          </w:p>
        </w:tc>
      </w:tr>
      <w:tr w14:paraId="7883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D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E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A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1.材料品种:乳化沥青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2.喷油量:0.3-0.5L/M2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2.喷油、布料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F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D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E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71EF">
            <w:pPr>
              <w:jc w:val="center"/>
              <w:rPr>
                <w:rFonts w:hint="eastAsia" w:ascii="宋体" w:hAnsi="宋体" w:eastAsia="宋体" w:cs="宋体"/>
                <w:i w:val="0"/>
                <w:iCs w:val="0"/>
                <w:color w:val="000000"/>
                <w:sz w:val="18"/>
                <w:szCs w:val="18"/>
                <w:u w:val="none"/>
              </w:rPr>
            </w:pPr>
          </w:p>
        </w:tc>
      </w:tr>
      <w:tr w14:paraId="32E5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2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1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上面层沥青混凝土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7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1.沥青混凝土种类:细粒式AC13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2.石料粒径:满足设计及规范要求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3.掺和料:满足设计及规范要求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4.厚度:40MM厚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2.拌和、运输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3.摊铺、整型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C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6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2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0145">
            <w:pPr>
              <w:jc w:val="center"/>
              <w:rPr>
                <w:rFonts w:hint="eastAsia" w:ascii="宋体" w:hAnsi="宋体" w:eastAsia="宋体" w:cs="宋体"/>
                <w:i w:val="0"/>
                <w:iCs w:val="0"/>
                <w:color w:val="000000"/>
                <w:sz w:val="18"/>
                <w:szCs w:val="18"/>
                <w:u w:val="none"/>
              </w:rPr>
            </w:pPr>
          </w:p>
        </w:tc>
      </w:tr>
      <w:tr w14:paraId="5811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B2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51E1">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3C73">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317515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00A4">
            <w:pPr>
              <w:rPr>
                <w:rFonts w:hint="eastAsia" w:ascii="宋体" w:hAnsi="宋体" w:eastAsia="宋体" w:cs="宋体"/>
                <w:i w:val="0"/>
                <w:iCs w:val="0"/>
                <w:color w:val="000000"/>
                <w:sz w:val="20"/>
                <w:szCs w:val="20"/>
                <w:u w:val="none"/>
              </w:rPr>
            </w:pPr>
          </w:p>
        </w:tc>
      </w:tr>
      <w:tr w14:paraId="5321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055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付款方式：对账周期一个月，对账完成后付至对账金额的97%，剩余3%待2年质保期满后支付</w:t>
            </w:r>
          </w:p>
        </w:tc>
      </w:tr>
    </w:tbl>
    <w:p w14:paraId="0C3BCF0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54413BE5">
      <w:pPr>
        <w:rPr>
          <w:rFonts w:hint="eastAsia" w:asciiTheme="minorEastAsia" w:hAnsiTheme="minorEastAsia" w:eastAsiaTheme="minorEastAsia" w:cstheme="minorEastAsia"/>
          <w:sz w:val="40"/>
          <w:szCs w:val="40"/>
          <w:highlight w:val="none"/>
          <w:lang w:val="en-US" w:eastAsia="zh-CN"/>
        </w:rPr>
      </w:pPr>
    </w:p>
    <w:p w14:paraId="5E5C98DF">
      <w:pPr>
        <w:rPr>
          <w:rFonts w:hint="eastAsia" w:asciiTheme="minorEastAsia" w:hAnsiTheme="minorEastAsia" w:eastAsiaTheme="minorEastAsia" w:cstheme="minorEastAsia"/>
          <w:sz w:val="40"/>
          <w:szCs w:val="40"/>
          <w:highlight w:val="none"/>
          <w:lang w:val="en-US" w:eastAsia="zh-CN"/>
        </w:rPr>
      </w:pPr>
    </w:p>
    <w:p w14:paraId="4F25FE4A">
      <w:pPr>
        <w:rPr>
          <w:rFonts w:hint="eastAsia" w:asciiTheme="minorEastAsia" w:hAnsiTheme="minorEastAsia" w:eastAsiaTheme="minorEastAsia" w:cstheme="minorEastAsia"/>
          <w:sz w:val="40"/>
          <w:szCs w:val="40"/>
          <w:highlight w:val="none"/>
          <w:lang w:val="en-US" w:eastAsia="zh-CN"/>
        </w:rPr>
      </w:pPr>
    </w:p>
    <w:p w14:paraId="0D665C81">
      <w:pPr>
        <w:rPr>
          <w:rFonts w:hint="eastAsia" w:asciiTheme="minorEastAsia" w:hAnsiTheme="minorEastAsia" w:eastAsiaTheme="minorEastAsia" w:cstheme="minorEastAsia"/>
          <w:sz w:val="40"/>
          <w:szCs w:val="40"/>
          <w:highlight w:val="none"/>
          <w:lang w:val="en-US" w:eastAsia="zh-CN"/>
        </w:rPr>
      </w:pPr>
    </w:p>
    <w:p w14:paraId="4E577D87">
      <w:pPr>
        <w:rPr>
          <w:rFonts w:hint="eastAsia" w:asciiTheme="minorEastAsia" w:hAnsiTheme="minorEastAsia" w:eastAsiaTheme="minorEastAsia" w:cstheme="minorEastAsia"/>
          <w:sz w:val="40"/>
          <w:szCs w:val="40"/>
          <w:highlight w:val="none"/>
          <w:lang w:val="en-US" w:eastAsia="zh-CN"/>
        </w:rPr>
      </w:pPr>
    </w:p>
    <w:p w14:paraId="718C8DF6">
      <w:pPr>
        <w:rPr>
          <w:rFonts w:hint="eastAsia" w:asciiTheme="minorEastAsia" w:hAnsiTheme="minorEastAsia" w:eastAsiaTheme="minorEastAsia" w:cstheme="minorEastAsia"/>
          <w:sz w:val="40"/>
          <w:szCs w:val="40"/>
          <w:highlight w:val="none"/>
          <w:lang w:val="en-US" w:eastAsia="zh-CN"/>
        </w:rPr>
      </w:pPr>
    </w:p>
    <w:p w14:paraId="6DDC0AD5">
      <w:pPr>
        <w:rPr>
          <w:rFonts w:hint="eastAsia" w:asciiTheme="minorEastAsia" w:hAnsiTheme="minorEastAsia" w:eastAsiaTheme="minorEastAsia" w:cstheme="minorEastAsia"/>
          <w:sz w:val="40"/>
          <w:szCs w:val="40"/>
          <w:highlight w:val="none"/>
          <w:lang w:val="en-US" w:eastAsia="zh-CN"/>
        </w:rPr>
      </w:pPr>
    </w:p>
    <w:p w14:paraId="5EFDE400">
      <w:pPr>
        <w:rPr>
          <w:rFonts w:hint="eastAsia" w:asciiTheme="minorEastAsia" w:hAnsiTheme="minorEastAsia" w:eastAsiaTheme="minorEastAsia" w:cstheme="minorEastAsia"/>
          <w:sz w:val="40"/>
          <w:szCs w:val="40"/>
          <w:highlight w:val="none"/>
          <w:lang w:val="en-US" w:eastAsia="zh-CN"/>
        </w:rPr>
      </w:pPr>
    </w:p>
    <w:p w14:paraId="52BE4645">
      <w:pPr>
        <w:rPr>
          <w:rFonts w:hint="eastAsia" w:asciiTheme="minorEastAsia" w:hAnsiTheme="minorEastAsia" w:eastAsiaTheme="minorEastAsia" w:cstheme="minorEastAsia"/>
          <w:sz w:val="40"/>
          <w:szCs w:val="40"/>
          <w:highlight w:val="none"/>
          <w:lang w:val="en-US" w:eastAsia="zh-CN"/>
        </w:rPr>
      </w:pPr>
    </w:p>
    <w:p w14:paraId="7DF2E70A">
      <w:pPr>
        <w:rPr>
          <w:rFonts w:hint="eastAsia" w:asciiTheme="minorEastAsia" w:hAnsiTheme="minorEastAsia" w:eastAsiaTheme="minorEastAsia" w:cstheme="minorEastAsia"/>
          <w:sz w:val="40"/>
          <w:szCs w:val="40"/>
          <w:highlight w:val="none"/>
          <w:lang w:val="en-US" w:eastAsia="zh-CN"/>
        </w:rPr>
      </w:pPr>
    </w:p>
    <w:p w14:paraId="3510A254">
      <w:pPr>
        <w:rPr>
          <w:rFonts w:hint="eastAsia" w:asciiTheme="minorEastAsia" w:hAnsiTheme="minorEastAsia" w:eastAsiaTheme="minorEastAsia" w:cstheme="minorEastAsia"/>
          <w:sz w:val="40"/>
          <w:szCs w:val="40"/>
          <w:highlight w:val="none"/>
          <w:lang w:val="en-US" w:eastAsia="zh-CN"/>
        </w:rPr>
      </w:pPr>
    </w:p>
    <w:p w14:paraId="71E0E9CF">
      <w:pPr>
        <w:rPr>
          <w:rFonts w:hint="eastAsia" w:asciiTheme="minorEastAsia" w:hAnsiTheme="minorEastAsia" w:eastAsiaTheme="minorEastAsia" w:cstheme="minorEastAsia"/>
          <w:sz w:val="40"/>
          <w:szCs w:val="40"/>
          <w:highlight w:val="none"/>
          <w:lang w:val="en-US" w:eastAsia="zh-CN"/>
        </w:rPr>
      </w:pPr>
    </w:p>
    <w:p w14:paraId="1925914C">
      <w:pPr>
        <w:rPr>
          <w:rFonts w:hint="eastAsia" w:asciiTheme="minorEastAsia" w:hAnsiTheme="minorEastAsia" w:eastAsiaTheme="minorEastAsia" w:cstheme="minorEastAsia"/>
          <w:sz w:val="40"/>
          <w:szCs w:val="40"/>
          <w:highlight w:val="none"/>
          <w:lang w:val="en-US" w:eastAsia="zh-CN"/>
        </w:rPr>
      </w:pPr>
    </w:p>
    <w:p w14:paraId="6BE42829">
      <w:pPr>
        <w:rPr>
          <w:rFonts w:hint="eastAsia" w:asciiTheme="minorEastAsia" w:hAnsiTheme="minorEastAsia" w:eastAsiaTheme="minorEastAsia" w:cstheme="minorEastAsia"/>
          <w:sz w:val="40"/>
          <w:szCs w:val="40"/>
          <w:highlight w:val="none"/>
          <w:lang w:val="en-US" w:eastAsia="zh-CN"/>
        </w:rPr>
      </w:pPr>
    </w:p>
    <w:p w14:paraId="6A8CB758">
      <w:pPr>
        <w:rPr>
          <w:rFonts w:hint="eastAsia" w:asciiTheme="minorEastAsia" w:hAnsiTheme="minorEastAsia" w:eastAsiaTheme="minorEastAsia" w:cstheme="minorEastAsia"/>
          <w:sz w:val="40"/>
          <w:szCs w:val="40"/>
          <w:highlight w:val="none"/>
          <w:lang w:val="en-US" w:eastAsia="zh-CN"/>
        </w:rPr>
      </w:pPr>
    </w:p>
    <w:p w14:paraId="26F4A7CC">
      <w:pPr>
        <w:rPr>
          <w:rFonts w:hint="eastAsia" w:asciiTheme="minorEastAsia" w:hAnsiTheme="minorEastAsia" w:eastAsiaTheme="minorEastAsia" w:cstheme="minorEastAsia"/>
          <w:sz w:val="40"/>
          <w:szCs w:val="40"/>
          <w:highlight w:val="none"/>
          <w:lang w:val="en-US" w:eastAsia="zh-CN"/>
        </w:rPr>
      </w:pPr>
    </w:p>
    <w:p w14:paraId="13F04267">
      <w:pPr>
        <w:rPr>
          <w:rFonts w:hint="eastAsia" w:asciiTheme="minorEastAsia" w:hAnsiTheme="minorEastAsia" w:eastAsiaTheme="minorEastAsia" w:cstheme="minorEastAsia"/>
          <w:sz w:val="40"/>
          <w:szCs w:val="40"/>
          <w:highlight w:val="none"/>
          <w:lang w:val="en-US" w:eastAsia="zh-CN"/>
        </w:rPr>
      </w:pPr>
    </w:p>
    <w:p w14:paraId="6CD89766">
      <w:pPr>
        <w:rPr>
          <w:rFonts w:hint="eastAsia" w:asciiTheme="minorEastAsia" w:hAnsiTheme="minorEastAsia" w:eastAsiaTheme="minorEastAsia" w:cstheme="minorEastAsia"/>
          <w:sz w:val="40"/>
          <w:szCs w:val="40"/>
          <w:highlight w:val="none"/>
          <w:lang w:val="en-US" w:eastAsia="zh-CN"/>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0D3E2719">
      <w:pPr>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b/>
          <w:bCs/>
          <w:color w:val="auto"/>
          <w:sz w:val="40"/>
          <w:szCs w:val="32"/>
          <w:lang w:val="en-US" w:eastAsia="zh-CN"/>
        </w:rPr>
        <w:br w:type="page"/>
      </w:r>
    </w:p>
    <w:p w14:paraId="5B47D962">
      <w:pPr>
        <w:pStyle w:val="5"/>
        <w:spacing w:before="120" w:beforeLines="50"/>
        <w:ind w:firstLine="964"/>
        <w:jc w:val="center"/>
        <w:rPr>
          <w:rFonts w:hint="eastAsia" w:asciiTheme="minorEastAsia" w:hAnsiTheme="minorEastAsia" w:eastAsiaTheme="minorEastAsia" w:cstheme="minorEastAsia"/>
          <w:b/>
          <w:sz w:val="48"/>
        </w:rPr>
      </w:pPr>
      <w:bookmarkStart w:id="3" w:name="_Toc453162622"/>
      <w:bookmarkStart w:id="4" w:name="_Toc453079648"/>
      <w:bookmarkStart w:id="5" w:name="_Toc453162709"/>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4A44888B">
      <w:pPr>
        <w:pStyle w:val="5"/>
        <w:spacing w:before="120" w:beforeLines="50"/>
        <w:ind w:firstLine="964"/>
        <w:jc w:val="center"/>
        <w:rPr>
          <w:rFonts w:hint="eastAsia" w:asciiTheme="minorEastAsia" w:hAnsiTheme="minorEastAsia" w:eastAsiaTheme="minorEastAsia" w:cstheme="minorEastAsia"/>
          <w:b/>
          <w:sz w:val="48"/>
          <w:u w:val="none"/>
          <w:lang w:val="en-US"/>
        </w:rPr>
      </w:pPr>
      <w:r>
        <w:rPr>
          <w:rFonts w:hint="eastAsia" w:asciiTheme="minorEastAsia" w:hAnsiTheme="minorEastAsia" w:eastAsiaTheme="minorEastAsia" w:cstheme="minorEastAsia"/>
          <w:b/>
          <w:sz w:val="48"/>
          <w:u w:val="none"/>
          <w:lang w:val="en-US" w:eastAsia="zh-CN"/>
        </w:rPr>
        <w:t>沥青混凝土专业分包</w:t>
      </w:r>
    </w:p>
    <w:p w14:paraId="3441B935">
      <w:pPr>
        <w:pStyle w:val="5"/>
        <w:spacing w:before="120" w:beforeLines="50"/>
        <w:ind w:firstLine="964"/>
        <w:jc w:val="center"/>
        <w:rPr>
          <w:rFonts w:hint="eastAsia" w:asciiTheme="minorEastAsia" w:hAnsiTheme="minorEastAsia" w:eastAsiaTheme="minorEastAsia" w:cstheme="minorEastAsia"/>
          <w:b/>
          <w:sz w:val="48"/>
        </w:rPr>
      </w:pPr>
    </w:p>
    <w:p w14:paraId="0A8DA847">
      <w:pPr>
        <w:pStyle w:val="5"/>
        <w:ind w:left="119" w:firstLine="0" w:firstLineChars="0"/>
        <w:jc w:val="center"/>
        <w:rPr>
          <w:rFonts w:hint="eastAsia" w:asciiTheme="minorEastAsia" w:hAnsiTheme="minorEastAsia" w:eastAsiaTheme="minorEastAsia" w:cstheme="minorEastAsia"/>
          <w:sz w:val="72"/>
        </w:rPr>
      </w:pPr>
    </w:p>
    <w:p w14:paraId="531A6899">
      <w:pPr>
        <w:pStyle w:val="5"/>
        <w:ind w:left="119" w:firstLine="0" w:firstLineChars="0"/>
        <w:jc w:val="center"/>
        <w:rPr>
          <w:rFonts w:hint="eastAsia" w:asciiTheme="minorEastAsia" w:hAnsiTheme="minorEastAsia" w:eastAsiaTheme="minorEastAsia" w:cstheme="minorEastAsia"/>
          <w:sz w:val="72"/>
        </w:rPr>
      </w:pPr>
    </w:p>
    <w:p w14:paraId="048B2333">
      <w:pPr>
        <w:pStyle w:val="5"/>
        <w:ind w:left="119" w:firstLine="0" w:firstLineChars="0"/>
        <w:jc w:val="center"/>
        <w:rPr>
          <w:rFonts w:hint="eastAsia" w:asciiTheme="minorEastAsia" w:hAnsiTheme="minorEastAsia" w:eastAsiaTheme="minorEastAsia" w:cstheme="minorEastAsia"/>
          <w:sz w:val="72"/>
        </w:rPr>
      </w:pPr>
    </w:p>
    <w:p w14:paraId="47529F52">
      <w:pPr>
        <w:pStyle w:val="5"/>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5"/>
        <w:ind w:left="119" w:firstLine="0" w:firstLineChars="0"/>
        <w:jc w:val="center"/>
        <w:rPr>
          <w:rFonts w:hint="eastAsia" w:asciiTheme="minorEastAsia" w:hAnsiTheme="minorEastAsia" w:eastAsiaTheme="minorEastAsia" w:cstheme="minorEastAsia"/>
        </w:rPr>
      </w:pPr>
    </w:p>
    <w:p w14:paraId="73EBEA87">
      <w:pPr>
        <w:pStyle w:val="5"/>
        <w:ind w:left="119" w:firstLine="0" w:firstLineChars="0"/>
        <w:jc w:val="center"/>
        <w:rPr>
          <w:rFonts w:hint="eastAsia" w:asciiTheme="minorEastAsia" w:hAnsiTheme="minorEastAsia" w:eastAsiaTheme="minorEastAsia" w:cstheme="minorEastAsia"/>
        </w:rPr>
      </w:pPr>
    </w:p>
    <w:p w14:paraId="572E4EAC">
      <w:pPr>
        <w:pStyle w:val="5"/>
        <w:ind w:left="119" w:firstLine="0" w:firstLineChars="0"/>
        <w:jc w:val="center"/>
        <w:rPr>
          <w:rFonts w:hint="eastAsia" w:asciiTheme="minorEastAsia" w:hAnsiTheme="minorEastAsia" w:eastAsiaTheme="minorEastAsia" w:cstheme="minorEastAsia"/>
        </w:rPr>
      </w:pPr>
    </w:p>
    <w:p w14:paraId="4D715A0B">
      <w:pPr>
        <w:pStyle w:val="5"/>
        <w:ind w:left="119" w:firstLine="0" w:firstLineChars="0"/>
        <w:jc w:val="center"/>
        <w:rPr>
          <w:rFonts w:hint="eastAsia" w:asciiTheme="minorEastAsia" w:hAnsiTheme="minorEastAsia" w:eastAsiaTheme="minorEastAsia" w:cstheme="minorEastAsia"/>
          <w:lang w:val="en-US" w:eastAsia="zh-CN"/>
        </w:rPr>
      </w:pPr>
    </w:p>
    <w:p w14:paraId="7762C524">
      <w:pPr>
        <w:pStyle w:val="5"/>
        <w:ind w:left="119" w:firstLine="0" w:firstLineChars="0"/>
        <w:jc w:val="center"/>
        <w:rPr>
          <w:rFonts w:hint="eastAsia" w:asciiTheme="minorEastAsia" w:hAnsiTheme="minorEastAsia" w:eastAsiaTheme="minorEastAsia" w:cstheme="minorEastAsia"/>
          <w:lang w:val="en-US" w:eastAsia="zh-CN"/>
        </w:rPr>
      </w:pPr>
    </w:p>
    <w:p w14:paraId="2E815B74">
      <w:pPr>
        <w:pStyle w:val="5"/>
        <w:ind w:left="119" w:firstLine="0" w:firstLineChars="0"/>
        <w:jc w:val="center"/>
        <w:rPr>
          <w:rFonts w:hint="eastAsia" w:asciiTheme="minorEastAsia" w:hAnsiTheme="minorEastAsia" w:eastAsiaTheme="minorEastAsia" w:cstheme="minorEastAsia"/>
        </w:rPr>
      </w:pPr>
    </w:p>
    <w:p w14:paraId="507A0996">
      <w:pPr>
        <w:pStyle w:val="5"/>
        <w:ind w:left="119" w:firstLine="0" w:firstLineChars="0"/>
        <w:jc w:val="center"/>
        <w:rPr>
          <w:rFonts w:hint="eastAsia" w:asciiTheme="minorEastAsia" w:hAnsiTheme="minorEastAsia" w:eastAsiaTheme="minorEastAsia" w:cstheme="minorEastAsia"/>
        </w:rPr>
      </w:pPr>
    </w:p>
    <w:p w14:paraId="65E4C464">
      <w:pPr>
        <w:pStyle w:val="5"/>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5"/>
        <w:ind w:firstLine="1280" w:firstLineChars="4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C823477">
      <w:pPr>
        <w:pStyle w:val="5"/>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057C79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本项目的报价为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eastAsia="zh-CN"/>
        </w:rPr>
        <w:t>。</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58CEC1D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182E55A1">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0C83DBED">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2B4DD3B2">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4815224C">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0635B4C1">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5151C470">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1D3A1E2D">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41EAF825">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4E97633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sz w:val="36"/>
          <w:szCs w:val="36"/>
          <w:lang w:eastAsia="zh-CN"/>
        </w:rPr>
        <w:t>（二）报价清单</w:t>
      </w:r>
    </w:p>
    <w:tbl>
      <w:tblPr>
        <w:tblStyle w:val="12"/>
        <w:tblpPr w:leftFromText="180" w:rightFromText="180" w:vertAnchor="text" w:horzAnchor="page" w:tblpX="820" w:tblpY="1301"/>
        <w:tblOverlap w:val="neve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890"/>
        <w:gridCol w:w="2655"/>
        <w:gridCol w:w="945"/>
        <w:gridCol w:w="1050"/>
        <w:gridCol w:w="1125"/>
        <w:gridCol w:w="1935"/>
      </w:tblGrid>
      <w:tr w14:paraId="5853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155" w:type="dxa"/>
            <w:gridSpan w:val="7"/>
            <w:vMerge w:val="restart"/>
            <w:tcBorders>
              <w:top w:val="nil"/>
              <w:left w:val="nil"/>
              <w:bottom w:val="nil"/>
              <w:right w:val="nil"/>
            </w:tcBorders>
            <w:shd w:val="clear" w:color="auto" w:fill="auto"/>
            <w:vAlign w:val="center"/>
          </w:tcPr>
          <w:p w14:paraId="5B4DA10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重庆烟叶复烤有限公司“十二五”易地技术改造项目-北侧道路零星项目沥青混凝土专业分包（包工包料）限价</w:t>
            </w:r>
          </w:p>
        </w:tc>
      </w:tr>
      <w:tr w14:paraId="3C2D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155" w:type="dxa"/>
            <w:gridSpan w:val="7"/>
            <w:vMerge w:val="continue"/>
            <w:tcBorders>
              <w:top w:val="nil"/>
              <w:left w:val="nil"/>
              <w:bottom w:val="nil"/>
              <w:right w:val="nil"/>
            </w:tcBorders>
            <w:shd w:val="clear" w:color="auto" w:fill="auto"/>
            <w:vAlign w:val="center"/>
          </w:tcPr>
          <w:p w14:paraId="49D94166">
            <w:pPr>
              <w:jc w:val="center"/>
              <w:rPr>
                <w:rFonts w:hint="eastAsia" w:ascii="宋体" w:hAnsi="宋体" w:eastAsia="宋体" w:cs="宋体"/>
                <w:b/>
                <w:bCs/>
                <w:i w:val="0"/>
                <w:iCs w:val="0"/>
                <w:color w:val="000000"/>
                <w:sz w:val="28"/>
                <w:szCs w:val="28"/>
                <w:u w:val="none"/>
              </w:rPr>
            </w:pPr>
          </w:p>
        </w:tc>
      </w:tr>
      <w:tr w14:paraId="7835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55" w:type="dxa"/>
            <w:gridSpan w:val="7"/>
            <w:vMerge w:val="continue"/>
            <w:tcBorders>
              <w:top w:val="nil"/>
              <w:left w:val="nil"/>
              <w:bottom w:val="nil"/>
              <w:right w:val="nil"/>
            </w:tcBorders>
            <w:shd w:val="clear" w:color="auto" w:fill="auto"/>
            <w:vAlign w:val="center"/>
          </w:tcPr>
          <w:p w14:paraId="676B219C">
            <w:pPr>
              <w:jc w:val="center"/>
              <w:rPr>
                <w:rFonts w:hint="eastAsia" w:ascii="宋体" w:hAnsi="宋体" w:eastAsia="宋体" w:cs="宋体"/>
                <w:b/>
                <w:bCs/>
                <w:i w:val="0"/>
                <w:iCs w:val="0"/>
                <w:color w:val="000000"/>
                <w:sz w:val="28"/>
                <w:szCs w:val="28"/>
                <w:u w:val="none"/>
              </w:rPr>
            </w:pPr>
          </w:p>
        </w:tc>
      </w:tr>
      <w:tr w14:paraId="0CC4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5" w:type="dxa"/>
            <w:vMerge w:val="restart"/>
            <w:tcBorders>
              <w:top w:val="single" w:color="000000" w:sz="4" w:space="0"/>
              <w:left w:val="single" w:color="000000" w:sz="4" w:space="0"/>
              <w:bottom w:val="nil"/>
              <w:right w:val="single" w:color="000000" w:sz="4" w:space="0"/>
            </w:tcBorders>
            <w:shd w:val="clear" w:color="auto" w:fill="auto"/>
            <w:vAlign w:val="center"/>
          </w:tcPr>
          <w:p w14:paraId="2BF8CE69">
            <w:pPr>
              <w:keepNext w:val="0"/>
              <w:keepLines w:val="0"/>
              <w:widowControl/>
              <w:suppressLineNumbers w:val="0"/>
              <w:jc w:val="center"/>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序号</w:t>
            </w:r>
          </w:p>
        </w:tc>
        <w:tc>
          <w:tcPr>
            <w:tcW w:w="1890" w:type="dxa"/>
            <w:vMerge w:val="restart"/>
            <w:tcBorders>
              <w:top w:val="single" w:color="000000" w:sz="4" w:space="0"/>
              <w:left w:val="single" w:color="000000" w:sz="4" w:space="0"/>
              <w:bottom w:val="nil"/>
              <w:right w:val="single" w:color="000000" w:sz="4" w:space="0"/>
            </w:tcBorders>
            <w:shd w:val="clear" w:color="auto" w:fill="auto"/>
            <w:vAlign w:val="center"/>
          </w:tcPr>
          <w:p w14:paraId="7617AE6B">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名称</w:t>
            </w:r>
          </w:p>
        </w:tc>
        <w:tc>
          <w:tcPr>
            <w:tcW w:w="2655" w:type="dxa"/>
            <w:vMerge w:val="restart"/>
            <w:tcBorders>
              <w:top w:val="single" w:color="000000" w:sz="4" w:space="0"/>
              <w:left w:val="single" w:color="000000" w:sz="4" w:space="0"/>
              <w:bottom w:val="nil"/>
              <w:right w:val="single" w:color="000000" w:sz="4" w:space="0"/>
            </w:tcBorders>
            <w:shd w:val="clear" w:color="auto" w:fill="auto"/>
            <w:vAlign w:val="center"/>
          </w:tcPr>
          <w:p w14:paraId="596385F3">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项目特征</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4D878B86">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14:paraId="0994E3D2">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工程量</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7BA41">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限价</w:t>
            </w:r>
          </w:p>
        </w:tc>
        <w:tc>
          <w:tcPr>
            <w:tcW w:w="1935" w:type="dxa"/>
            <w:vMerge w:val="restart"/>
            <w:tcBorders>
              <w:top w:val="single" w:color="000000" w:sz="4" w:space="0"/>
              <w:left w:val="nil"/>
              <w:bottom w:val="single" w:color="000000" w:sz="4" w:space="0"/>
              <w:right w:val="single" w:color="000000" w:sz="4" w:space="0"/>
            </w:tcBorders>
            <w:shd w:val="clear" w:color="auto" w:fill="auto"/>
            <w:vAlign w:val="center"/>
          </w:tcPr>
          <w:p w14:paraId="69869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91F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562369E0">
            <w:pPr>
              <w:jc w:val="center"/>
              <w:rPr>
                <w:rFonts w:hint="eastAsia" w:ascii="方正楷体_GBK" w:hAnsi="方正楷体_GBK" w:eastAsia="方正楷体_GBK" w:cs="方正楷体_GBK"/>
                <w:i w:val="0"/>
                <w:iCs w:val="0"/>
                <w:color w:val="000000"/>
                <w:sz w:val="20"/>
                <w:szCs w:val="20"/>
                <w:u w:val="none"/>
              </w:rPr>
            </w:pPr>
          </w:p>
        </w:tc>
        <w:tc>
          <w:tcPr>
            <w:tcW w:w="1890" w:type="dxa"/>
            <w:vMerge w:val="continue"/>
            <w:tcBorders>
              <w:top w:val="single" w:color="000000" w:sz="4" w:space="0"/>
              <w:left w:val="single" w:color="000000" w:sz="4" w:space="0"/>
              <w:bottom w:val="nil"/>
              <w:right w:val="single" w:color="000000" w:sz="4" w:space="0"/>
            </w:tcBorders>
            <w:shd w:val="clear" w:color="auto" w:fill="auto"/>
            <w:vAlign w:val="center"/>
          </w:tcPr>
          <w:p w14:paraId="41FEA51B">
            <w:pPr>
              <w:jc w:val="center"/>
              <w:rPr>
                <w:rFonts w:hint="eastAsia" w:ascii="方正楷体_GBK" w:hAnsi="方正楷体_GBK" w:eastAsia="方正楷体_GBK" w:cs="方正楷体_GBK"/>
                <w:i w:val="0"/>
                <w:iCs w:val="0"/>
                <w:color w:val="000000"/>
                <w:sz w:val="20"/>
                <w:szCs w:val="20"/>
                <w:u w:val="none"/>
              </w:rPr>
            </w:pPr>
          </w:p>
        </w:tc>
        <w:tc>
          <w:tcPr>
            <w:tcW w:w="2655" w:type="dxa"/>
            <w:vMerge w:val="continue"/>
            <w:tcBorders>
              <w:top w:val="single" w:color="000000" w:sz="4" w:space="0"/>
              <w:left w:val="single" w:color="000000" w:sz="4" w:space="0"/>
              <w:bottom w:val="nil"/>
              <w:right w:val="single" w:color="000000" w:sz="4" w:space="0"/>
            </w:tcBorders>
            <w:shd w:val="clear" w:color="auto" w:fill="auto"/>
            <w:vAlign w:val="center"/>
          </w:tcPr>
          <w:p w14:paraId="3CC0DE87">
            <w:pPr>
              <w:jc w:val="center"/>
              <w:rPr>
                <w:rFonts w:hint="eastAsia" w:ascii="方正楷体_GBK" w:hAnsi="方正楷体_GBK" w:eastAsia="方正楷体_GBK" w:cs="方正楷体_GBK"/>
                <w:i w:val="0"/>
                <w:iCs w:val="0"/>
                <w:color w:val="000000"/>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1196BD6">
            <w:pPr>
              <w:jc w:val="center"/>
              <w:rPr>
                <w:rFonts w:hint="eastAsia" w:ascii="方正楷体_GBK" w:hAnsi="方正楷体_GBK" w:eastAsia="方正楷体_GBK" w:cs="方正楷体_GBK"/>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14:paraId="571FA562">
            <w:pPr>
              <w:jc w:val="center"/>
              <w:rPr>
                <w:rFonts w:hint="eastAsia" w:ascii="方正楷体_GBK" w:hAnsi="方正楷体_GBK" w:eastAsia="方正楷体_GBK" w:cs="方正楷体_GBK"/>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C8C8">
            <w:pPr>
              <w:jc w:val="center"/>
              <w:rPr>
                <w:rFonts w:hint="eastAsia" w:ascii="方正楷体_GBK" w:hAnsi="方正楷体_GBK" w:eastAsia="方正楷体_GBK" w:cs="方正楷体_GBK"/>
                <w:i w:val="0"/>
                <w:iCs w:val="0"/>
                <w:color w:val="000000"/>
                <w:sz w:val="20"/>
                <w:szCs w:val="20"/>
                <w:u w:val="none"/>
              </w:rPr>
            </w:pPr>
          </w:p>
        </w:tc>
        <w:tc>
          <w:tcPr>
            <w:tcW w:w="1935" w:type="dxa"/>
            <w:vMerge w:val="continue"/>
            <w:tcBorders>
              <w:top w:val="single" w:color="000000" w:sz="4" w:space="0"/>
              <w:left w:val="nil"/>
              <w:bottom w:val="single" w:color="000000" w:sz="4" w:space="0"/>
              <w:right w:val="single" w:color="000000" w:sz="4" w:space="0"/>
            </w:tcBorders>
            <w:shd w:val="clear" w:color="auto" w:fill="auto"/>
            <w:vAlign w:val="center"/>
          </w:tcPr>
          <w:p w14:paraId="309C1960">
            <w:pPr>
              <w:jc w:val="center"/>
              <w:rPr>
                <w:rFonts w:hint="eastAsia" w:ascii="宋体" w:hAnsi="宋体" w:eastAsia="宋体" w:cs="宋体"/>
                <w:i w:val="0"/>
                <w:iCs w:val="0"/>
                <w:color w:val="000000"/>
                <w:sz w:val="20"/>
                <w:szCs w:val="20"/>
                <w:u w:val="none"/>
              </w:rPr>
            </w:pPr>
          </w:p>
        </w:tc>
      </w:tr>
      <w:tr w14:paraId="5EBD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3EE0402C">
            <w:pPr>
              <w:jc w:val="center"/>
              <w:rPr>
                <w:rFonts w:hint="eastAsia" w:ascii="方正楷体_GBK" w:hAnsi="方正楷体_GBK" w:eastAsia="方正楷体_GBK" w:cs="方正楷体_GBK"/>
                <w:i w:val="0"/>
                <w:iCs w:val="0"/>
                <w:color w:val="000000"/>
                <w:sz w:val="20"/>
                <w:szCs w:val="20"/>
                <w:u w:val="none"/>
              </w:rPr>
            </w:pPr>
          </w:p>
        </w:tc>
        <w:tc>
          <w:tcPr>
            <w:tcW w:w="1890" w:type="dxa"/>
            <w:vMerge w:val="continue"/>
            <w:tcBorders>
              <w:top w:val="single" w:color="000000" w:sz="4" w:space="0"/>
              <w:left w:val="single" w:color="000000" w:sz="4" w:space="0"/>
              <w:bottom w:val="nil"/>
              <w:right w:val="single" w:color="000000" w:sz="4" w:space="0"/>
            </w:tcBorders>
            <w:shd w:val="clear" w:color="auto" w:fill="auto"/>
            <w:vAlign w:val="center"/>
          </w:tcPr>
          <w:p w14:paraId="329200A7">
            <w:pPr>
              <w:jc w:val="center"/>
              <w:rPr>
                <w:rFonts w:hint="eastAsia" w:ascii="方正楷体_GBK" w:hAnsi="方正楷体_GBK" w:eastAsia="方正楷体_GBK" w:cs="方正楷体_GBK"/>
                <w:i w:val="0"/>
                <w:iCs w:val="0"/>
                <w:color w:val="000000"/>
                <w:sz w:val="20"/>
                <w:szCs w:val="20"/>
                <w:u w:val="none"/>
              </w:rPr>
            </w:pPr>
          </w:p>
        </w:tc>
        <w:tc>
          <w:tcPr>
            <w:tcW w:w="2655" w:type="dxa"/>
            <w:vMerge w:val="continue"/>
            <w:tcBorders>
              <w:top w:val="single" w:color="000000" w:sz="4" w:space="0"/>
              <w:left w:val="single" w:color="000000" w:sz="4" w:space="0"/>
              <w:bottom w:val="nil"/>
              <w:right w:val="single" w:color="000000" w:sz="4" w:space="0"/>
            </w:tcBorders>
            <w:shd w:val="clear" w:color="auto" w:fill="auto"/>
            <w:vAlign w:val="center"/>
          </w:tcPr>
          <w:p w14:paraId="11C477D1">
            <w:pPr>
              <w:jc w:val="center"/>
              <w:rPr>
                <w:rFonts w:hint="eastAsia" w:ascii="方正楷体_GBK" w:hAnsi="方正楷体_GBK" w:eastAsia="方正楷体_GBK" w:cs="方正楷体_GBK"/>
                <w:i w:val="0"/>
                <w:iCs w:val="0"/>
                <w:color w:val="000000"/>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C6E7E31">
            <w:pPr>
              <w:jc w:val="center"/>
              <w:rPr>
                <w:rFonts w:hint="eastAsia" w:ascii="方正楷体_GBK" w:hAnsi="方正楷体_GBK" w:eastAsia="方正楷体_GBK" w:cs="方正楷体_GBK"/>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14:paraId="0EE631D7">
            <w:pPr>
              <w:jc w:val="center"/>
              <w:rPr>
                <w:rFonts w:hint="eastAsia" w:ascii="方正楷体_GBK" w:hAnsi="方正楷体_GBK" w:eastAsia="方正楷体_GBK" w:cs="方正楷体_GBK"/>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953F">
            <w:pPr>
              <w:jc w:val="center"/>
              <w:rPr>
                <w:rFonts w:hint="eastAsia" w:ascii="方正楷体_GBK" w:hAnsi="方正楷体_GBK" w:eastAsia="方正楷体_GBK" w:cs="方正楷体_GBK"/>
                <w:i w:val="0"/>
                <w:iCs w:val="0"/>
                <w:color w:val="000000"/>
                <w:sz w:val="20"/>
                <w:szCs w:val="20"/>
                <w:u w:val="none"/>
              </w:rPr>
            </w:pPr>
          </w:p>
        </w:tc>
        <w:tc>
          <w:tcPr>
            <w:tcW w:w="1935" w:type="dxa"/>
            <w:vMerge w:val="continue"/>
            <w:tcBorders>
              <w:top w:val="single" w:color="000000" w:sz="4" w:space="0"/>
              <w:left w:val="nil"/>
              <w:bottom w:val="single" w:color="000000" w:sz="4" w:space="0"/>
              <w:right w:val="single" w:color="000000" w:sz="4" w:space="0"/>
            </w:tcBorders>
            <w:shd w:val="clear" w:color="auto" w:fill="auto"/>
            <w:vAlign w:val="center"/>
          </w:tcPr>
          <w:p w14:paraId="5284563F">
            <w:pPr>
              <w:jc w:val="center"/>
              <w:rPr>
                <w:rFonts w:hint="eastAsia" w:ascii="宋体" w:hAnsi="宋体" w:eastAsia="宋体" w:cs="宋体"/>
                <w:i w:val="0"/>
                <w:iCs w:val="0"/>
                <w:color w:val="000000"/>
                <w:sz w:val="20"/>
                <w:szCs w:val="20"/>
                <w:u w:val="none"/>
              </w:rPr>
            </w:pPr>
          </w:p>
        </w:tc>
      </w:tr>
      <w:tr w14:paraId="4AEA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1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C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乳化沥青封层</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42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1.材料品种:乳化沥青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2.喷油量:0.8-1.1L/m2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3.厚度:根据设计要求结合相关规范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2.喷油、布料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F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2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B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05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单价含13%增值税专用发票，提供材料合格证、道路接缝处收口材料</w:t>
            </w:r>
          </w:p>
        </w:tc>
      </w:tr>
      <w:tr w14:paraId="3AC2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B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8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下面层沥青混凝土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E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1.沥青混凝土种类:中粒式AC20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2.石料粒径:满足设计及规范要求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3.掺和料:满足设计及规范要求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4.厚度:80MM厚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2.拌和、运输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3.摊铺、整型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9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B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CDB7">
            <w:pPr>
              <w:jc w:val="center"/>
              <w:rPr>
                <w:rFonts w:hint="eastAsia" w:ascii="宋体" w:hAnsi="宋体" w:eastAsia="宋体" w:cs="宋体"/>
                <w:i w:val="0"/>
                <w:iCs w:val="0"/>
                <w:color w:val="000000"/>
                <w:sz w:val="18"/>
                <w:szCs w:val="18"/>
                <w:u w:val="none"/>
              </w:rPr>
            </w:pPr>
          </w:p>
        </w:tc>
      </w:tr>
      <w:tr w14:paraId="308D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D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3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CA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1.材料品种:乳化沥青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2.喷油量:0.3-0.5L/M2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2.喷油、布料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D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0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C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4026">
            <w:pPr>
              <w:jc w:val="center"/>
              <w:rPr>
                <w:rFonts w:hint="eastAsia" w:ascii="宋体" w:hAnsi="宋体" w:eastAsia="宋体" w:cs="宋体"/>
                <w:i w:val="0"/>
                <w:iCs w:val="0"/>
                <w:color w:val="000000"/>
                <w:sz w:val="18"/>
                <w:szCs w:val="18"/>
                <w:u w:val="none"/>
              </w:rPr>
            </w:pPr>
          </w:p>
        </w:tc>
      </w:tr>
      <w:tr w14:paraId="675D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上面层沥青混凝土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1.沥青混凝土种类:细粒式AC13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2.石料粒径:满足设计及规范要求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3.掺和料:满足设计及规范要求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4.厚度:40MM厚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2.拌和、运输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3.摊铺、整型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9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9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9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8728">
            <w:pPr>
              <w:jc w:val="center"/>
              <w:rPr>
                <w:rFonts w:hint="eastAsia" w:ascii="宋体" w:hAnsi="宋体" w:eastAsia="宋体" w:cs="宋体"/>
                <w:i w:val="0"/>
                <w:iCs w:val="0"/>
                <w:color w:val="000000"/>
                <w:sz w:val="18"/>
                <w:szCs w:val="18"/>
                <w:u w:val="none"/>
              </w:rPr>
            </w:pPr>
          </w:p>
        </w:tc>
      </w:tr>
      <w:tr w14:paraId="1552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93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432C">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CD70">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F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317515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7FDD">
            <w:pPr>
              <w:rPr>
                <w:rFonts w:hint="eastAsia" w:ascii="宋体" w:hAnsi="宋体" w:eastAsia="宋体" w:cs="宋体"/>
                <w:i w:val="0"/>
                <w:iCs w:val="0"/>
                <w:color w:val="000000"/>
                <w:sz w:val="20"/>
                <w:szCs w:val="20"/>
                <w:u w:val="none"/>
              </w:rPr>
            </w:pPr>
          </w:p>
        </w:tc>
      </w:tr>
      <w:tr w14:paraId="1B0B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120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付款方式：对账周期一个月，对账完成后付至对账金额的97%，剩余3%待2年质保期满后支付</w:t>
            </w:r>
          </w:p>
        </w:tc>
      </w:tr>
    </w:tbl>
    <w:p w14:paraId="2955F218">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sectPr>
          <w:footerReference r:id="rId3" w:type="default"/>
          <w:pgSz w:w="11906" w:h="16838"/>
          <w:pgMar w:top="1440" w:right="1800" w:bottom="1440" w:left="1800" w:header="851" w:footer="992" w:gutter="0"/>
          <w:cols w:space="425" w:num="1"/>
          <w:docGrid w:type="lines" w:linePitch="312" w:charSpace="0"/>
        </w:sectPr>
      </w:pPr>
    </w:p>
    <w:p w14:paraId="799C0F99">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bookmarkStart w:id="6" w:name="_Toc369531696"/>
      <w:bookmarkEnd w:id="6"/>
      <w:bookmarkStart w:id="7" w:name="_Toc16824"/>
      <w:bookmarkEnd w:id="7"/>
      <w:bookmarkStart w:id="8" w:name="_Toc16568"/>
      <w:bookmarkEnd w:id="8"/>
      <w:bookmarkStart w:id="9" w:name="_Toc369531695"/>
      <w:bookmarkEnd w:id="9"/>
      <w:bookmarkStart w:id="10" w:name="_Toc352691659"/>
      <w:bookmarkEnd w:id="10"/>
      <w:bookmarkStart w:id="11" w:name="_Toc352691660"/>
      <w:bookmarkEnd w:id="11"/>
      <w:r>
        <w:rPr>
          <w:rFonts w:hint="eastAsia" w:asciiTheme="minorEastAsia" w:hAnsiTheme="minorEastAsia" w:eastAsiaTheme="minorEastAsia" w:cstheme="minorEastAsia"/>
          <w:b/>
          <w:kern w:val="2"/>
          <w:sz w:val="36"/>
          <w:szCs w:val="36"/>
          <w:lang w:val="en-US" w:eastAsia="zh-CN" w:bidi="ar-SA"/>
        </w:rPr>
        <w:t>（三）</w:t>
      </w:r>
      <w:r>
        <w:rPr>
          <w:rFonts w:hint="eastAsia" w:asciiTheme="minorEastAsia" w:hAnsiTheme="minorEastAsia" w:eastAsiaTheme="minorEastAsia" w:cstheme="minorEastAsia"/>
          <w:b/>
          <w:sz w:val="36"/>
          <w:szCs w:val="36"/>
          <w:lang w:val="en-US" w:eastAsia="zh-CN"/>
        </w:rPr>
        <w:t>法定代表人身份证明</w:t>
      </w:r>
    </w:p>
    <w:p w14:paraId="355DE4B7">
      <w:pPr>
        <w:pStyle w:val="5"/>
        <w:spacing w:line="352" w:lineRule="auto"/>
      </w:pPr>
    </w:p>
    <w:p w14:paraId="7CA3DF60">
      <w:pPr>
        <w:pStyle w:val="5"/>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4B74863B">
      <w:pPr>
        <w:spacing w:before="298" w:line="503" w:lineRule="auto"/>
        <w:ind w:left="390" w:firstLine="4"/>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5"/>
        <w:spacing w:line="246" w:lineRule="auto"/>
      </w:pPr>
    </w:p>
    <w:p w14:paraId="52E7FD84">
      <w:pPr>
        <w:pStyle w:val="5"/>
        <w:spacing w:line="247" w:lineRule="auto"/>
      </w:pPr>
    </w:p>
    <w:p w14:paraId="6F0A45CA">
      <w:pPr>
        <w:pStyle w:val="5"/>
        <w:spacing w:line="247" w:lineRule="auto"/>
      </w:pPr>
    </w:p>
    <w:p w14:paraId="40F72061">
      <w:pPr>
        <w:pStyle w:val="5"/>
        <w:spacing w:line="247" w:lineRule="auto"/>
      </w:pPr>
    </w:p>
    <w:p w14:paraId="55E0FC51">
      <w:pPr>
        <w:pStyle w:val="5"/>
        <w:spacing w:line="247" w:lineRule="auto"/>
      </w:pPr>
    </w:p>
    <w:p w14:paraId="72990331">
      <w:pPr>
        <w:pStyle w:val="5"/>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盖单位法人章）</w:t>
      </w:r>
    </w:p>
    <w:p w14:paraId="4F395A70">
      <w:pPr>
        <w:pStyle w:val="5"/>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5"/>
        <w:spacing w:line="260" w:lineRule="auto"/>
      </w:pPr>
    </w:p>
    <w:p w14:paraId="5DEF2C80">
      <w:pPr>
        <w:pStyle w:val="5"/>
        <w:spacing w:line="261" w:lineRule="auto"/>
      </w:pPr>
    </w:p>
    <w:p w14:paraId="47632FAE">
      <w:pPr>
        <w:pStyle w:val="5"/>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471A73D6">
      <w:pPr>
        <w:spacing w:line="378"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5"/>
        <w:spacing w:line="257" w:lineRule="auto"/>
      </w:pPr>
    </w:p>
    <w:p w14:paraId="71B7F6D0">
      <w:pPr>
        <w:pStyle w:val="5"/>
        <w:spacing w:line="258" w:lineRule="auto"/>
      </w:pPr>
    </w:p>
    <w:p w14:paraId="5F1C7631">
      <w:pPr>
        <w:pStyle w:val="5"/>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5"/>
        <w:spacing w:line="246" w:lineRule="auto"/>
      </w:pPr>
    </w:p>
    <w:p w14:paraId="0885383C">
      <w:pPr>
        <w:pStyle w:val="5"/>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5"/>
        <w:spacing w:line="241" w:lineRule="auto"/>
      </w:pPr>
    </w:p>
    <w:p w14:paraId="08268333">
      <w:pPr>
        <w:pStyle w:val="5"/>
        <w:spacing w:line="242" w:lineRule="auto"/>
      </w:pPr>
    </w:p>
    <w:p w14:paraId="11989CB6">
      <w:pPr>
        <w:pStyle w:val="5"/>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31DAC88C">
      <w:pPr>
        <w:spacing w:line="226" w:lineRule="auto"/>
        <w:rPr>
          <w:rFonts w:ascii="宋体" w:hAnsi="宋体" w:eastAsia="宋体" w:cs="宋体"/>
          <w:sz w:val="20"/>
          <w:szCs w:val="20"/>
        </w:rPr>
        <w:sectPr>
          <w:footerReference r:id="rId5" w:type="default"/>
          <w:pgSz w:w="11906" w:h="16839"/>
          <w:pgMar w:top="1440" w:right="1800" w:bottom="1440" w:left="1800" w:header="0" w:footer="994" w:gutter="0"/>
          <w:cols w:space="720" w:num="1"/>
        </w:sectPr>
      </w:pPr>
    </w:p>
    <w:p w14:paraId="0C62B76D">
      <w:pPr>
        <w:pStyle w:val="3"/>
        <w:spacing w:before="120"/>
        <w:ind w:left="0" w:leftChars="0" w:firstLine="0" w:firstLineChars="0"/>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四</w:t>
      </w: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公司营业执照</w:t>
      </w:r>
    </w:p>
    <w:p w14:paraId="32CBC337">
      <w:pP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val="en-US" w:eastAsia="zh-CN"/>
        </w:rPr>
        <w:br w:type="page"/>
      </w:r>
    </w:p>
    <w:p w14:paraId="5A153BD6">
      <w:pPr>
        <w:pStyle w:val="3"/>
        <w:spacing w:before="120"/>
        <w:ind w:left="0" w:leftChars="0" w:firstLine="0" w:firstLineChars="0"/>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eastAsia="zh-CN"/>
        </w:rPr>
        <w:t>（五）</w:t>
      </w:r>
      <w:r>
        <w:rPr>
          <w:rFonts w:hint="eastAsia" w:asciiTheme="minorEastAsia" w:hAnsiTheme="minorEastAsia" w:eastAsiaTheme="minorEastAsia" w:cstheme="minorEastAsia"/>
          <w:sz w:val="40"/>
          <w:szCs w:val="44"/>
          <w:lang w:val="en-US" w:eastAsia="zh-CN"/>
        </w:rPr>
        <w:t>安全生产许可证</w:t>
      </w:r>
    </w:p>
    <w:p w14:paraId="35BE976C">
      <w:pPr>
        <w:rPr>
          <w:rFonts w:hint="eastAsia"/>
          <w:lang w:val="en-US" w:eastAsia="zh-CN"/>
        </w:rPr>
      </w:pPr>
      <w:r>
        <w:rPr>
          <w:rFonts w:hint="eastAsia"/>
          <w:lang w:val="en-US" w:eastAsia="zh-CN"/>
        </w:rPr>
        <w:br w:type="page"/>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1"/>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49BDF4A9">
      <w:pPr>
        <w:spacing w:line="480" w:lineRule="exact"/>
        <w:jc w:val="center"/>
        <w:rPr>
          <w:b/>
          <w:color w:val="000000" w:themeColor="text1"/>
          <w:sz w:val="48"/>
          <w:szCs w:val="48"/>
          <w14:textFill>
            <w14:solidFill>
              <w14:schemeClr w14:val="tx1"/>
            </w14:solidFill>
          </w14:textFill>
        </w:rPr>
      </w:pPr>
      <w:r>
        <w:rPr>
          <w:rFonts w:hint="eastAsia"/>
          <w:b/>
          <w:color w:val="000000" w:themeColor="text1"/>
          <w:sz w:val="48"/>
          <w:szCs w:val="48"/>
          <w14:textFill>
            <w14:solidFill>
              <w14:schemeClr w14:val="tx1"/>
            </w14:solidFill>
          </w14:textFill>
        </w:rPr>
        <w:t>沥青混凝土</w:t>
      </w:r>
      <w:r>
        <w:rPr>
          <w:rFonts w:hint="eastAsia"/>
          <w:b/>
          <w:color w:val="000000" w:themeColor="text1"/>
          <w:sz w:val="48"/>
          <w:szCs w:val="48"/>
          <w:lang w:eastAsia="zh-CN"/>
          <w14:textFill>
            <w14:solidFill>
              <w14:schemeClr w14:val="tx1"/>
            </w14:solidFill>
          </w14:textFill>
        </w:rPr>
        <w:t>专业</w:t>
      </w:r>
      <w:r>
        <w:rPr>
          <w:rFonts w:hint="eastAsia"/>
          <w:b/>
          <w:color w:val="000000" w:themeColor="text1"/>
          <w:sz w:val="48"/>
          <w:szCs w:val="48"/>
          <w14:textFill>
            <w14:solidFill>
              <w14:schemeClr w14:val="tx1"/>
            </w14:solidFill>
          </w14:textFill>
        </w:rPr>
        <w:t>分包协议</w:t>
      </w:r>
    </w:p>
    <w:p w14:paraId="175FC240">
      <w:pPr>
        <w:spacing w:line="480" w:lineRule="exact"/>
        <w:jc w:val="center"/>
        <w:rPr>
          <w:b/>
          <w:color w:val="000000" w:themeColor="text1"/>
          <w:sz w:val="48"/>
          <w:szCs w:val="48"/>
          <w14:textFill>
            <w14:solidFill>
              <w14:schemeClr w14:val="tx1"/>
            </w14:solidFill>
          </w14:textFill>
        </w:rPr>
      </w:pPr>
    </w:p>
    <w:p w14:paraId="4FABD655">
      <w:pPr>
        <w:spacing w:line="4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甲方： </w:t>
      </w:r>
      <w:r>
        <w:rPr>
          <w:rFonts w:hint="eastAsia" w:ascii="宋体" w:hAnsi="宋体" w:cs="宋体"/>
          <w:color w:val="000000" w:themeColor="text1"/>
          <w:sz w:val="28"/>
          <w:szCs w:val="28"/>
          <w:u w:val="single"/>
          <w14:textFill>
            <w14:solidFill>
              <w14:schemeClr w14:val="tx1"/>
            </w14:solidFill>
          </w14:textFill>
        </w:rPr>
        <w:t xml:space="preserve"> 重庆市巴南建设（集团）有限公司</w:t>
      </w:r>
      <w:r>
        <w:rPr>
          <w:rFonts w:hint="eastAsia" w:ascii="宋体" w:hAnsi="宋体" w:cs="宋体"/>
          <w:color w:val="000000" w:themeColor="text1"/>
          <w:sz w:val="28"/>
          <w:szCs w:val="28"/>
          <w14:textFill>
            <w14:solidFill>
              <w14:schemeClr w14:val="tx1"/>
            </w14:solidFill>
          </w14:textFill>
        </w:rPr>
        <w:t>（以下简称甲方）</w:t>
      </w:r>
    </w:p>
    <w:p w14:paraId="0E4A66DB">
      <w:pPr>
        <w:pStyle w:val="10"/>
        <w:widowControl/>
        <w:spacing w:beforeAutospacing="0" w:afterAutospacing="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乙方： </w:t>
      </w:r>
      <w:r>
        <w:rPr>
          <w:rFonts w:hint="eastAsia" w:ascii="宋体" w:hAnsi="宋体" w:cs="宋体"/>
          <w:color w:val="000000" w:themeColor="text1"/>
          <w:kern w:val="2"/>
          <w:sz w:val="28"/>
          <w:szCs w:val="28"/>
          <w:u w:val="single"/>
          <w14:textFill>
            <w14:solidFill>
              <w14:schemeClr w14:val="tx1"/>
            </w14:solidFill>
          </w14:textFill>
        </w:rPr>
        <w:t xml:space="preserve"> </w:t>
      </w:r>
      <w:r>
        <w:rPr>
          <w:rFonts w:hint="eastAsia" w:ascii="宋体" w:hAnsi="宋体" w:cs="宋体"/>
          <w:color w:val="000000" w:themeColor="text1"/>
          <w:kern w:val="2"/>
          <w:sz w:val="28"/>
          <w:szCs w:val="28"/>
          <w:u w:val="single"/>
          <w:lang w:val="en-US" w:eastAsia="zh-CN"/>
          <w14:textFill>
            <w14:solidFill>
              <w14:schemeClr w14:val="tx1"/>
            </w14:solidFill>
          </w14:textFill>
        </w:rPr>
        <w:t xml:space="preserve">                           </w:t>
      </w:r>
      <w:r>
        <w:rPr>
          <w:rFonts w:hint="eastAsia" w:ascii="宋体" w:hAnsi="宋体" w:cs="宋体"/>
          <w:color w:val="000000" w:themeColor="text1"/>
          <w:kern w:val="2"/>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（以下简称乙方）</w:t>
      </w:r>
    </w:p>
    <w:p w14:paraId="57588938">
      <w:pPr>
        <w:pStyle w:val="10"/>
        <w:widowControl/>
        <w:spacing w:beforeAutospacing="0" w:afterAutospacing="0"/>
        <w:rPr>
          <w:rFonts w:ascii="宋体" w:hAnsi="宋体" w:cs="宋体"/>
          <w:color w:val="000000" w:themeColor="text1"/>
          <w:sz w:val="28"/>
          <w:szCs w:val="28"/>
          <w14:textFill>
            <w14:solidFill>
              <w14:schemeClr w14:val="tx1"/>
            </w14:solidFill>
          </w14:textFill>
        </w:rPr>
      </w:pPr>
    </w:p>
    <w:p w14:paraId="7A9502E1">
      <w:p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乙方充分考察及熟悉本协议所述工程内容及相关特点背景的情况下，根据相关法律、法规，甲、乙双方经友好协商，甲方同意乙方承担本协议所阐述的劳务分包工作内容，为明确双方的权利和义务，签定如下条款，供双方共同遵照执行。</w:t>
      </w:r>
    </w:p>
    <w:p w14:paraId="419C7443">
      <w:pPr>
        <w:numPr>
          <w:ilvl w:val="0"/>
          <w:numId w:val="4"/>
        </w:num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工程概况：</w:t>
      </w:r>
    </w:p>
    <w:p w14:paraId="2A25185D">
      <w:pPr>
        <w:numPr>
          <w:ilvl w:val="0"/>
          <w:numId w:val="5"/>
        </w:numPr>
        <w:spacing w:line="360" w:lineRule="auto"/>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工程名称：</w:t>
      </w:r>
      <w:r>
        <w:rPr>
          <w:rFonts w:hint="eastAsia" w:ascii="宋体" w:hAnsi="宋体" w:cs="宋体"/>
          <w:color w:val="000000" w:themeColor="text1"/>
          <w:sz w:val="28"/>
          <w:szCs w:val="28"/>
          <w:u w:val="single"/>
          <w:lang w:val="en-US" w:eastAsia="zh-CN"/>
          <w14:textFill>
            <w14:solidFill>
              <w14:schemeClr w14:val="tx1"/>
            </w14:solidFill>
          </w14:textFill>
        </w:rPr>
        <w:t>重庆烟叶复烤有限公司“十二五”易地技术改造项目-北侧道路零星项目</w:t>
      </w:r>
    </w:p>
    <w:p w14:paraId="6C248272">
      <w:pPr>
        <w:numPr>
          <w:ilvl w:val="0"/>
          <w:numId w:val="5"/>
        </w:num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承包方式：</w:t>
      </w:r>
      <w:r>
        <w:rPr>
          <w:rFonts w:hint="eastAsia" w:ascii="宋体" w:hAnsi="宋体" w:cs="宋体"/>
          <w:color w:val="000000" w:themeColor="text1"/>
          <w:sz w:val="28"/>
          <w:szCs w:val="28"/>
          <w:u w:val="single"/>
          <w:lang w:eastAsia="zh-CN"/>
          <w14:textFill>
            <w14:solidFill>
              <w14:schemeClr w14:val="tx1"/>
            </w14:solidFill>
          </w14:textFill>
        </w:rPr>
        <w:t>沥青混凝土专业</w:t>
      </w:r>
      <w:r>
        <w:rPr>
          <w:rFonts w:hint="eastAsia" w:ascii="宋体" w:hAnsi="宋体" w:cs="宋体"/>
          <w:color w:val="000000" w:themeColor="text1"/>
          <w:sz w:val="28"/>
          <w:szCs w:val="28"/>
          <w:u w:val="single"/>
          <w14:textFill>
            <w14:solidFill>
              <w14:schemeClr w14:val="tx1"/>
            </w14:solidFill>
          </w14:textFill>
        </w:rPr>
        <w:t>分包</w:t>
      </w:r>
    </w:p>
    <w:p w14:paraId="4FAD4760">
      <w:pPr>
        <w:numPr>
          <w:ilvl w:val="0"/>
          <w:numId w:val="5"/>
        </w:numPr>
        <w:spacing w:line="360" w:lineRule="auto"/>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工程内容：</w:t>
      </w:r>
      <w:r>
        <w:rPr>
          <w:rFonts w:hint="eastAsia" w:ascii="宋体" w:hAnsi="宋体" w:cs="宋体"/>
          <w:color w:val="000000" w:themeColor="text1"/>
          <w:sz w:val="28"/>
          <w:szCs w:val="28"/>
          <w:u w:val="single"/>
          <w14:textFill>
            <w14:solidFill>
              <w14:schemeClr w14:val="tx1"/>
            </w14:solidFill>
          </w14:textFill>
        </w:rPr>
        <w:t>包含的</w:t>
      </w:r>
      <w:r>
        <w:rPr>
          <w:rFonts w:hint="eastAsia" w:asciiTheme="minorEastAsia" w:hAnsiTheme="minorEastAsia" w:eastAsiaTheme="minorEastAsia" w:cstheme="minorEastAsia"/>
          <w:color w:val="auto"/>
          <w:kern w:val="2"/>
          <w:sz w:val="28"/>
          <w:szCs w:val="28"/>
          <w:highlight w:val="none"/>
          <w:u w:val="single"/>
          <w:lang w:val="en-US" w:eastAsia="zh-CN" w:bidi="ar-SA"/>
        </w:rPr>
        <w:t>清理下承面;拌和、运输;摊铺、整型;压实</w:t>
      </w:r>
      <w:r>
        <w:rPr>
          <w:rFonts w:hint="eastAsia" w:ascii="宋体" w:hAnsi="宋体" w:cs="宋体"/>
          <w:color w:val="000000" w:themeColor="text1"/>
          <w:sz w:val="28"/>
          <w:szCs w:val="28"/>
          <w:u w:val="single"/>
          <w14:textFill>
            <w14:solidFill>
              <w14:schemeClr w14:val="tx1"/>
            </w14:solidFill>
          </w14:textFill>
        </w:rPr>
        <w:t>的工作内容。</w:t>
      </w:r>
    </w:p>
    <w:p w14:paraId="4598005F">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二、工程承包范围：</w:t>
      </w:r>
    </w:p>
    <w:p w14:paraId="735315D3">
      <w:pPr>
        <w:spacing w:line="360" w:lineRule="auto"/>
        <w:ind w:firstLine="560" w:firstLineChars="200"/>
        <w:textAlignment w:val="baseline"/>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本工程主要内容为</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eastAsia="zh-CN"/>
          <w14:textFill>
            <w14:solidFill>
              <w14:schemeClr w14:val="tx1"/>
            </w14:solidFill>
          </w14:textFill>
        </w:rPr>
        <w:t>等</w:t>
      </w:r>
      <w:r>
        <w:rPr>
          <w:rFonts w:hint="eastAsia" w:ascii="宋体" w:hAnsi="宋体" w:cs="宋体"/>
          <w:color w:val="000000" w:themeColor="text1"/>
          <w:sz w:val="28"/>
          <w:szCs w:val="28"/>
          <w:u w:val="single"/>
          <w14:textFill>
            <w14:solidFill>
              <w14:schemeClr w14:val="tx1"/>
            </w14:solidFill>
          </w14:textFill>
        </w:rPr>
        <w:t>工作内容。</w:t>
      </w:r>
    </w:p>
    <w:p w14:paraId="55792D45">
      <w:pPr>
        <w:spacing w:line="360" w:lineRule="auto"/>
        <w:ind w:firstLine="560" w:firstLineChars="200"/>
        <w:textAlignment w:val="baseline"/>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1、乙方负责施工人员的安全保障、相关部位的安全设施的搭设及文明施工的全部工作。</w:t>
      </w:r>
    </w:p>
    <w:p w14:paraId="24CAA661">
      <w:pPr>
        <w:numPr>
          <w:ilvl w:val="255"/>
          <w:numId w:val="0"/>
        </w:numPr>
        <w:spacing w:line="360" w:lineRule="auto"/>
        <w:ind w:firstLine="560" w:firstLineChars="200"/>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2、乙方自行提供能满足施工所需的机具用具，负责安装、保养、维护、保管、材料送检、配合现场检测等工作及承担相关的费用。</w:t>
      </w:r>
    </w:p>
    <w:p w14:paraId="0D5DA9D0">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三、合同工期：</w:t>
      </w:r>
    </w:p>
    <w:p w14:paraId="5D484A7B">
      <w:pPr>
        <w:spacing w:line="360" w:lineRule="auto"/>
        <w:ind w:firstLine="560" w:firstLineChars="200"/>
        <w:jc w:val="left"/>
        <w:textAlignment w:val="baseline"/>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从</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年</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月</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日开工，</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年</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月</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日完工（除甲方原因外，无论任何原因工期不作调整）。</w:t>
      </w:r>
    </w:p>
    <w:p w14:paraId="395E3A2F">
      <w:pPr>
        <w:spacing w:line="360" w:lineRule="auto"/>
        <w:rPr>
          <w:rFonts w:ascii="宋体" w:hAnsi="宋体" w:cs="宋体"/>
          <w:sz w:val="28"/>
          <w:szCs w:val="28"/>
        </w:rPr>
      </w:pPr>
      <w:r>
        <w:rPr>
          <w:rFonts w:hint="eastAsia" w:ascii="宋体" w:hAnsi="宋体" w:cs="宋体"/>
          <w:sz w:val="28"/>
          <w:szCs w:val="28"/>
        </w:rPr>
        <w:t>四、合同价款：</w:t>
      </w:r>
    </w:p>
    <w:p w14:paraId="6EEAED52">
      <w:pPr>
        <w:spacing w:line="360" w:lineRule="auto"/>
        <w:ind w:firstLine="560" w:firstLineChars="200"/>
        <w:rPr>
          <w:rFonts w:ascii="宋体" w:hAnsi="宋体" w:cs="宋体"/>
          <w:sz w:val="28"/>
          <w:szCs w:val="28"/>
        </w:rPr>
      </w:pPr>
      <w:r>
        <w:rPr>
          <w:rFonts w:hint="eastAsia" w:ascii="宋体" w:hAnsi="宋体" w:cs="宋体"/>
          <w:sz w:val="28"/>
          <w:szCs w:val="28"/>
        </w:rPr>
        <w:t>1、本合同暂定总金额</w:t>
      </w:r>
      <w:r>
        <w:rPr>
          <w:rFonts w:hint="eastAsia" w:ascii="宋体" w:hAnsi="宋体" w:cs="宋体"/>
          <w:sz w:val="28"/>
          <w:szCs w:val="28"/>
          <w:u w:val="single"/>
        </w:rPr>
        <w:t>：</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元（大写：</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元整）</w:t>
      </w:r>
      <w:r>
        <w:rPr>
          <w:rFonts w:hint="eastAsia" w:ascii="宋体" w:hAnsi="宋体" w:cs="宋体"/>
          <w:sz w:val="28"/>
          <w:szCs w:val="28"/>
        </w:rPr>
        <w:t>。最终按甲乙双方审定的结算金额为准。</w:t>
      </w:r>
    </w:p>
    <w:p w14:paraId="2BD6E011">
      <w:pPr>
        <w:spacing w:line="360" w:lineRule="auto"/>
        <w:rPr>
          <w:rFonts w:ascii="宋体" w:hAnsi="宋体" w:cs="宋体"/>
          <w:sz w:val="28"/>
          <w:szCs w:val="28"/>
        </w:rPr>
      </w:pPr>
      <w:r>
        <w:rPr>
          <w:rFonts w:hint="eastAsia" w:ascii="宋体" w:hAnsi="宋体" w:cs="宋体"/>
          <w:sz w:val="28"/>
          <w:szCs w:val="28"/>
          <w:lang w:eastAsia="zh-CN"/>
        </w:rPr>
        <w:t>五</w:t>
      </w:r>
      <w:r>
        <w:rPr>
          <w:rFonts w:hint="eastAsia" w:ascii="宋体" w:hAnsi="宋体" w:cs="宋体"/>
          <w:sz w:val="28"/>
          <w:szCs w:val="28"/>
        </w:rPr>
        <w:t>、甲乙双方责任：</w:t>
      </w:r>
    </w:p>
    <w:p w14:paraId="6D5EB441">
      <w:pPr>
        <w:spacing w:line="360" w:lineRule="auto"/>
        <w:ind w:firstLine="560" w:firstLineChars="200"/>
        <w:rPr>
          <w:rFonts w:ascii="宋体" w:hAnsi="宋体" w:cs="宋体"/>
          <w:sz w:val="28"/>
          <w:szCs w:val="28"/>
        </w:rPr>
      </w:pPr>
      <w:r>
        <w:rPr>
          <w:rFonts w:hint="eastAsia" w:ascii="宋体" w:hAnsi="宋体" w:cs="宋体"/>
          <w:sz w:val="28"/>
          <w:szCs w:val="28"/>
        </w:rPr>
        <w:t>1、乙方负责施工人员的安全保障、相关部位的安全设施的搭设及文明施工的全部工作。</w:t>
      </w:r>
    </w:p>
    <w:p w14:paraId="653617C6">
      <w:pPr>
        <w:spacing w:line="360" w:lineRule="auto"/>
        <w:ind w:firstLine="560" w:firstLineChars="200"/>
        <w:rPr>
          <w:rFonts w:ascii="宋体" w:hAnsi="宋体" w:cs="宋体"/>
          <w:sz w:val="28"/>
          <w:szCs w:val="28"/>
          <w:highlight w:val="green"/>
        </w:rPr>
      </w:pPr>
      <w:r>
        <w:rPr>
          <w:rFonts w:hint="eastAsia" w:ascii="宋体" w:hAnsi="宋体" w:cs="宋体"/>
          <w:sz w:val="28"/>
          <w:szCs w:val="28"/>
        </w:rPr>
        <w:t>2、乙方自行提供能满足施工所需的机具用具，负责安装、保养、维护、保管等工作及承担相关的费用。</w:t>
      </w:r>
    </w:p>
    <w:p w14:paraId="673AF200">
      <w:pPr>
        <w:spacing w:line="360" w:lineRule="auto"/>
        <w:ind w:firstLine="560" w:firstLineChars="200"/>
        <w:rPr>
          <w:rFonts w:ascii="宋体" w:hAnsi="宋体" w:cs="宋体"/>
          <w:sz w:val="28"/>
          <w:szCs w:val="28"/>
        </w:rPr>
      </w:pPr>
      <w:r>
        <w:rPr>
          <w:rFonts w:hint="eastAsia" w:ascii="宋体" w:hAnsi="宋体" w:cs="宋体"/>
          <w:sz w:val="28"/>
          <w:szCs w:val="28"/>
        </w:rPr>
        <w:t>3、乙方指定安全员一名负责现场安全施工工作。</w:t>
      </w:r>
    </w:p>
    <w:p w14:paraId="5B62D97E">
      <w:pPr>
        <w:spacing w:line="360" w:lineRule="auto"/>
        <w:ind w:firstLine="560" w:firstLineChars="200"/>
        <w:rPr>
          <w:rFonts w:ascii="宋体" w:hAnsi="宋体" w:cs="宋体"/>
          <w:sz w:val="28"/>
          <w:szCs w:val="28"/>
        </w:rPr>
      </w:pPr>
      <w:r>
        <w:rPr>
          <w:rFonts w:hint="eastAsia" w:ascii="宋体" w:hAnsi="宋体" w:cs="宋体"/>
          <w:sz w:val="28"/>
          <w:szCs w:val="28"/>
        </w:rPr>
        <w:t>4、乙方自行为施工场地内自有人员和第三者办理工伤意外伤害保险及施工机械设备办理财产保险，并支付保险费用。安全事故发生时，乙方必须采取必要的措施，防止或减少损失。</w:t>
      </w:r>
      <w:r>
        <w:rPr>
          <w:rFonts w:hint="eastAsia" w:asciiTheme="minorEastAsia" w:hAnsiTheme="minorEastAsia" w:eastAsiaTheme="minorEastAsia" w:cstheme="minorEastAsia"/>
          <w:sz w:val="28"/>
          <w:szCs w:val="28"/>
        </w:rPr>
        <w:t>乙方承包范围内的所有工伤、安全等事故责任均由乙方承担。</w:t>
      </w:r>
    </w:p>
    <w:p w14:paraId="7A3E9B66">
      <w:pPr>
        <w:spacing w:line="360" w:lineRule="auto"/>
        <w:ind w:firstLine="560" w:firstLineChars="200"/>
        <w:rPr>
          <w:rFonts w:ascii="宋体" w:hAnsi="宋体" w:cs="宋体"/>
          <w:sz w:val="28"/>
          <w:szCs w:val="28"/>
        </w:rPr>
      </w:pPr>
      <w:r>
        <w:rPr>
          <w:rFonts w:hint="eastAsia" w:ascii="宋体" w:hAnsi="宋体" w:cs="宋体"/>
          <w:sz w:val="28"/>
          <w:szCs w:val="28"/>
        </w:rPr>
        <w:t>5、乙方必须严格按照劳动安全操作规程施工作业，采取严格的安全防护措施，严禁违章作业，确保施工安全；如发生安全事故，所产生的所有经济损失和责任由乙方承担。</w:t>
      </w:r>
    </w:p>
    <w:p w14:paraId="4EDC9615">
      <w:pPr>
        <w:spacing w:line="360" w:lineRule="auto"/>
        <w:rPr>
          <w:rFonts w:ascii="宋体" w:hAnsi="宋体" w:cs="宋体"/>
          <w:sz w:val="28"/>
          <w:szCs w:val="28"/>
        </w:rPr>
      </w:pPr>
      <w:r>
        <w:rPr>
          <w:rFonts w:hint="eastAsia" w:ascii="宋体" w:hAnsi="宋体" w:cs="宋体"/>
          <w:sz w:val="28"/>
          <w:szCs w:val="28"/>
          <w:lang w:eastAsia="zh-CN"/>
        </w:rPr>
        <w:t>六</w:t>
      </w:r>
      <w:r>
        <w:rPr>
          <w:rFonts w:hint="eastAsia" w:ascii="宋体" w:hAnsi="宋体" w:cs="宋体"/>
          <w:sz w:val="28"/>
          <w:szCs w:val="28"/>
        </w:rPr>
        <w:t>、质量与验收：</w:t>
      </w:r>
    </w:p>
    <w:p w14:paraId="7F76918C">
      <w:pPr>
        <w:spacing w:line="360" w:lineRule="auto"/>
        <w:ind w:firstLine="560" w:firstLineChars="200"/>
        <w:rPr>
          <w:rFonts w:ascii="宋体" w:hAnsi="宋体" w:cs="宋体"/>
          <w:sz w:val="28"/>
          <w:szCs w:val="28"/>
        </w:rPr>
      </w:pPr>
      <w:r>
        <w:rPr>
          <w:rFonts w:hint="eastAsia" w:ascii="宋体" w:hAnsi="宋体" w:cs="宋体"/>
          <w:sz w:val="28"/>
          <w:szCs w:val="28"/>
        </w:rPr>
        <w:t>1、工程质量：</w:t>
      </w:r>
      <w:r>
        <w:rPr>
          <w:rFonts w:hint="eastAsia" w:ascii="宋体" w:hAnsi="宋体" w:cs="宋体"/>
          <w:sz w:val="28"/>
          <w:szCs w:val="28"/>
          <w:lang w:val="en-US" w:eastAsia="zh-CN"/>
        </w:rPr>
        <w:t xml:space="preserve">                     </w:t>
      </w:r>
      <w:r>
        <w:rPr>
          <w:rFonts w:hint="eastAsia" w:ascii="宋体" w:hAnsi="宋体" w:cs="宋体"/>
          <w:sz w:val="28"/>
          <w:szCs w:val="28"/>
        </w:rPr>
        <w:t>。</w:t>
      </w:r>
    </w:p>
    <w:p w14:paraId="02BA939C">
      <w:pPr>
        <w:spacing w:line="360" w:lineRule="auto"/>
        <w:rPr>
          <w:rFonts w:ascii="宋体" w:hAnsi="宋体" w:cs="宋体"/>
          <w:sz w:val="28"/>
          <w:szCs w:val="28"/>
        </w:rPr>
      </w:pPr>
      <w:r>
        <w:rPr>
          <w:rFonts w:hint="eastAsia" w:ascii="宋体" w:hAnsi="宋体" w:cs="宋体"/>
          <w:sz w:val="28"/>
          <w:szCs w:val="28"/>
          <w:lang w:eastAsia="zh-CN"/>
        </w:rPr>
        <w:t>七</w:t>
      </w:r>
      <w:r>
        <w:rPr>
          <w:rFonts w:hint="eastAsia" w:ascii="宋体" w:hAnsi="宋体" w:cs="宋体"/>
          <w:sz w:val="28"/>
          <w:szCs w:val="28"/>
        </w:rPr>
        <w:t>、工程结算及付款方式：</w:t>
      </w:r>
    </w:p>
    <w:p w14:paraId="4ABD82F1">
      <w:pPr>
        <w:spacing w:line="360" w:lineRule="auto"/>
        <w:ind w:firstLine="560" w:firstLineChars="200"/>
        <w:rPr>
          <w:rFonts w:ascii="宋体" w:hAnsi="宋体" w:cs="宋体"/>
          <w:sz w:val="28"/>
          <w:szCs w:val="28"/>
          <w:u w:val="single"/>
        </w:rPr>
      </w:pPr>
      <w:r>
        <w:rPr>
          <w:rFonts w:hint="eastAsia" w:ascii="宋体" w:hAnsi="宋体" w:cs="宋体"/>
          <w:sz w:val="28"/>
          <w:szCs w:val="28"/>
          <w:u w:val="single"/>
        </w:rPr>
        <w:t>1、结算原则：本合同为固定单价合同（包干单价详见后附</w:t>
      </w:r>
      <w:r>
        <w:rPr>
          <w:rFonts w:hint="eastAsia" w:ascii="宋体" w:hAnsi="宋体" w:cs="宋体"/>
          <w:sz w:val="28"/>
          <w:szCs w:val="28"/>
          <w:u w:val="single"/>
          <w:lang w:eastAsia="zh-CN"/>
        </w:rPr>
        <w:t>报价</w:t>
      </w:r>
      <w:r>
        <w:rPr>
          <w:rFonts w:hint="eastAsia" w:ascii="宋体" w:hAnsi="宋体" w:cs="宋体"/>
          <w:sz w:val="28"/>
          <w:szCs w:val="28"/>
          <w:u w:val="single"/>
        </w:rPr>
        <w:t>单价），不因任何其他因素变化而调整，</w:t>
      </w:r>
      <w:r>
        <w:rPr>
          <w:rFonts w:hint="eastAsia" w:ascii="宋体" w:hAnsi="宋体" w:cs="宋体"/>
          <w:sz w:val="28"/>
          <w:szCs w:val="28"/>
          <w:u w:val="single"/>
          <w:lang w:eastAsia="zh-CN"/>
        </w:rPr>
        <w:t>结算</w:t>
      </w:r>
      <w:r>
        <w:rPr>
          <w:rFonts w:hint="eastAsia" w:ascii="宋体" w:hAnsi="宋体" w:cs="宋体"/>
          <w:sz w:val="28"/>
          <w:szCs w:val="28"/>
          <w:u w:val="single"/>
        </w:rPr>
        <w:t>总额=实际完成合格工程量*包干单价。合同清单项外新增内容的结算单价由甲乙双方另行签订补充协议。</w:t>
      </w:r>
    </w:p>
    <w:p w14:paraId="63552507">
      <w:pPr>
        <w:spacing w:line="360" w:lineRule="auto"/>
        <w:ind w:firstLine="560" w:firstLineChars="200"/>
        <w:rPr>
          <w:rFonts w:ascii="宋体" w:hAnsi="宋体" w:cs="宋体"/>
          <w:sz w:val="28"/>
          <w:szCs w:val="28"/>
          <w:u w:val="single"/>
        </w:rPr>
      </w:pPr>
      <w:r>
        <w:rPr>
          <w:rFonts w:hint="eastAsia" w:ascii="宋体" w:hAnsi="宋体" w:cs="宋体"/>
          <w:sz w:val="28"/>
          <w:szCs w:val="28"/>
          <w:u w:val="single"/>
        </w:rPr>
        <w:t>2、付款方式：对账周期一个月，对账完成后付至对账金额的97%，剩余3%待2年质保期满后支付。</w:t>
      </w:r>
    </w:p>
    <w:p w14:paraId="547A6757">
      <w:pPr>
        <w:spacing w:line="360" w:lineRule="auto"/>
        <w:ind w:firstLine="560" w:firstLineChars="200"/>
        <w:rPr>
          <w:rFonts w:ascii="宋体" w:hAnsi="宋体" w:cs="宋体"/>
          <w:sz w:val="28"/>
          <w:szCs w:val="28"/>
          <w:u w:val="single"/>
        </w:rPr>
      </w:pPr>
      <w:r>
        <w:rPr>
          <w:rFonts w:hint="eastAsia" w:ascii="宋体" w:hAnsi="宋体" w:cs="宋体"/>
          <w:sz w:val="28"/>
          <w:szCs w:val="28"/>
          <w:u w:val="single"/>
        </w:rPr>
        <w:t>3、工程质保期：24个月（自工程完工验收合格之日起计算）。</w:t>
      </w:r>
    </w:p>
    <w:p w14:paraId="76DB60B9">
      <w:pPr>
        <w:spacing w:line="360" w:lineRule="auto"/>
        <w:ind w:firstLine="560" w:firstLineChars="200"/>
        <w:rPr>
          <w:rFonts w:ascii="宋体" w:hAnsi="宋体" w:cs="宋体"/>
          <w:sz w:val="28"/>
          <w:szCs w:val="28"/>
          <w:u w:val="single"/>
        </w:rPr>
      </w:pPr>
      <w:r>
        <w:rPr>
          <w:rFonts w:hint="eastAsia" w:ascii="宋体" w:hAnsi="宋体" w:cs="宋体"/>
          <w:sz w:val="28"/>
          <w:szCs w:val="28"/>
          <w:u w:val="single"/>
        </w:rPr>
        <w:t>除合同约定的相关条款外，以甲方指定负责人（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）签字确认且加盖甲方公章的结算单为有效计量计价依据，未经甲方加盖公章的单据甲方不予认可，甲方有权不支付任何款项且不承担违约责任，由此造成的任何损失由乙方自行承担。</w:t>
      </w:r>
    </w:p>
    <w:p w14:paraId="591A9D87">
      <w:pPr>
        <w:spacing w:line="360" w:lineRule="auto"/>
        <w:rPr>
          <w:rFonts w:ascii="宋体" w:hAnsi="宋体" w:cs="宋体"/>
          <w:sz w:val="28"/>
          <w:szCs w:val="28"/>
        </w:rPr>
      </w:pPr>
      <w:r>
        <w:rPr>
          <w:rFonts w:hint="eastAsia" w:ascii="宋体" w:hAnsi="宋体" w:cs="宋体"/>
          <w:sz w:val="28"/>
          <w:szCs w:val="28"/>
          <w:lang w:eastAsia="zh-CN"/>
        </w:rPr>
        <w:t>八</w:t>
      </w:r>
      <w:r>
        <w:rPr>
          <w:rFonts w:hint="eastAsia" w:ascii="宋体" w:hAnsi="宋体" w:cs="宋体"/>
          <w:sz w:val="28"/>
          <w:szCs w:val="28"/>
        </w:rPr>
        <w:t>、违约责任：</w:t>
      </w:r>
    </w:p>
    <w:p w14:paraId="6D1A3BDA">
      <w:pPr>
        <w:spacing w:line="360" w:lineRule="auto"/>
        <w:ind w:firstLine="560" w:firstLineChars="200"/>
        <w:rPr>
          <w:rFonts w:ascii="宋体" w:hAnsi="宋体" w:cs="宋体"/>
          <w:sz w:val="28"/>
          <w:szCs w:val="28"/>
        </w:rPr>
      </w:pPr>
      <w:r>
        <w:rPr>
          <w:rFonts w:hint="eastAsia" w:ascii="宋体" w:hAnsi="宋体" w:cs="宋体"/>
          <w:sz w:val="28"/>
          <w:szCs w:val="28"/>
        </w:rPr>
        <w:t>1、甲方未按约支付工程进度款，差欠部分按中国人民银行授权全国银行间同业拆借中心计算并公布的一年期贷款市场报价利率计算支付乙方违约金。</w:t>
      </w:r>
    </w:p>
    <w:p w14:paraId="2277050C">
      <w:pPr>
        <w:spacing w:line="360" w:lineRule="auto"/>
        <w:ind w:firstLine="560" w:firstLineChars="200"/>
        <w:rPr>
          <w:rFonts w:ascii="宋体" w:hAnsi="宋体" w:cs="宋体"/>
          <w:sz w:val="28"/>
          <w:szCs w:val="28"/>
        </w:rPr>
      </w:pPr>
      <w:r>
        <w:rPr>
          <w:rFonts w:hint="eastAsia" w:ascii="宋体" w:hAnsi="宋体" w:cs="宋体"/>
          <w:sz w:val="28"/>
          <w:szCs w:val="28"/>
        </w:rPr>
        <w:t>2、因乙方自身原因中途退场，甲方按已施工合格部分工程量的50%结算工程款，余款不再支付，且乙方应赔偿因此给甲方造成的经济损失。</w:t>
      </w:r>
    </w:p>
    <w:p w14:paraId="4B0951BC">
      <w:pPr>
        <w:spacing w:line="360" w:lineRule="auto"/>
        <w:ind w:firstLine="560" w:firstLineChars="200"/>
        <w:rPr>
          <w:rFonts w:ascii="宋体" w:hAnsi="宋体" w:cs="宋体"/>
          <w:sz w:val="28"/>
          <w:szCs w:val="28"/>
        </w:rPr>
      </w:pPr>
      <w:r>
        <w:rPr>
          <w:rFonts w:hint="eastAsia" w:ascii="宋体" w:hAnsi="宋体" w:cs="宋体"/>
          <w:sz w:val="28"/>
          <w:szCs w:val="28"/>
        </w:rPr>
        <w:t>3、因乙方原因导致工程无法按实完（竣）工的，每延期一天，按照施工合同金额2‰的金额予以罚款，在最终结算时一次性扣除。</w:t>
      </w:r>
    </w:p>
    <w:p w14:paraId="3F9171DD">
      <w:pPr>
        <w:spacing w:line="360" w:lineRule="auto"/>
        <w:rPr>
          <w:rFonts w:ascii="宋体" w:hAnsi="宋体" w:cs="宋体"/>
          <w:sz w:val="28"/>
          <w:szCs w:val="28"/>
        </w:rPr>
      </w:pPr>
      <w:r>
        <w:rPr>
          <w:rFonts w:hint="eastAsia" w:ascii="宋体" w:hAnsi="宋体" w:cs="宋体"/>
          <w:sz w:val="28"/>
          <w:szCs w:val="28"/>
          <w:lang w:eastAsia="zh-CN"/>
        </w:rPr>
        <w:t>九</w:t>
      </w:r>
      <w:r>
        <w:rPr>
          <w:rFonts w:hint="eastAsia" w:ascii="宋体" w:hAnsi="宋体" w:cs="宋体"/>
          <w:sz w:val="28"/>
          <w:szCs w:val="28"/>
        </w:rPr>
        <w:t>、合同争议：</w:t>
      </w:r>
    </w:p>
    <w:p w14:paraId="49C9F996">
      <w:pPr>
        <w:spacing w:line="360" w:lineRule="auto"/>
        <w:rPr>
          <w:rFonts w:ascii="宋体" w:hAnsi="宋体" w:cs="宋体"/>
          <w:sz w:val="28"/>
          <w:szCs w:val="28"/>
        </w:rPr>
      </w:pPr>
      <w:r>
        <w:rPr>
          <w:rFonts w:hint="eastAsia" w:ascii="宋体" w:hAnsi="宋体" w:cs="宋体"/>
          <w:sz w:val="28"/>
          <w:szCs w:val="28"/>
        </w:rPr>
        <w:t xml:space="preserve">    1、甲乙双方发生合同争议，双方应协商解决，协商不成，双方同意向甲方所在地有管辖权的人民法院提起诉讼。</w:t>
      </w:r>
    </w:p>
    <w:p w14:paraId="6478C236">
      <w:pPr>
        <w:spacing w:line="360" w:lineRule="auto"/>
        <w:rPr>
          <w:rFonts w:ascii="宋体" w:hAnsi="宋体" w:cs="宋体"/>
          <w:sz w:val="28"/>
          <w:szCs w:val="28"/>
        </w:rPr>
      </w:pPr>
      <w:r>
        <w:rPr>
          <w:rFonts w:hint="eastAsia" w:ascii="宋体" w:hAnsi="宋体" w:cs="宋体"/>
          <w:sz w:val="28"/>
          <w:szCs w:val="28"/>
          <w:lang w:eastAsia="zh-CN"/>
        </w:rPr>
        <w:t>十</w:t>
      </w:r>
      <w:r>
        <w:rPr>
          <w:rFonts w:hint="eastAsia" w:ascii="宋体" w:hAnsi="宋体" w:cs="宋体"/>
          <w:sz w:val="28"/>
          <w:szCs w:val="28"/>
        </w:rPr>
        <w:t>、通知与送达：</w:t>
      </w:r>
    </w:p>
    <w:p w14:paraId="07BF7FD7">
      <w:pPr>
        <w:spacing w:line="360" w:lineRule="auto"/>
        <w:ind w:firstLine="560" w:firstLineChars="200"/>
        <w:rPr>
          <w:rFonts w:ascii="宋体" w:hAnsi="宋体" w:cs="宋体"/>
          <w:sz w:val="28"/>
          <w:szCs w:val="28"/>
          <w:u w:val="single"/>
        </w:rPr>
      </w:pPr>
      <w:r>
        <w:rPr>
          <w:rFonts w:hint="eastAsia" w:ascii="宋体" w:hAnsi="宋体" w:cs="宋体"/>
          <w:sz w:val="28"/>
          <w:szCs w:val="28"/>
        </w:rPr>
        <w:t>甲方通信地址：</w:t>
      </w:r>
      <w:r>
        <w:rPr>
          <w:rFonts w:hint="eastAsia" w:ascii="宋体" w:hAnsi="宋体" w:cs="宋体"/>
          <w:sz w:val="28"/>
          <w:szCs w:val="28"/>
          <w:u w:val="single"/>
        </w:rPr>
        <w:t>重庆市巴南区南彭公路物流基地环道东路6号</w:t>
      </w:r>
      <w:r>
        <w:rPr>
          <w:rFonts w:hint="eastAsia" w:ascii="宋体" w:hAnsi="宋体" w:cs="宋体"/>
          <w:sz w:val="28"/>
          <w:szCs w:val="28"/>
        </w:rPr>
        <w:t>；联系人：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；联系电话：</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589815FF">
      <w:pPr>
        <w:spacing w:line="360" w:lineRule="auto"/>
        <w:ind w:firstLine="560" w:firstLineChars="200"/>
        <w:rPr>
          <w:rFonts w:ascii="宋体" w:hAnsi="宋体" w:cs="宋体"/>
          <w:sz w:val="28"/>
          <w:szCs w:val="28"/>
          <w:u w:val="single"/>
        </w:rPr>
      </w:pPr>
      <w:r>
        <w:rPr>
          <w:rFonts w:hint="eastAsia" w:ascii="宋体" w:hAnsi="宋体" w:cs="宋体"/>
          <w:sz w:val="28"/>
          <w:szCs w:val="28"/>
        </w:rPr>
        <w:t>乙方通信地址：</w:t>
      </w:r>
      <w:r>
        <w:rPr>
          <w:rFonts w:hint="eastAsia" w:ascii="宋体" w:hAnsi="宋体" w:cs="宋体"/>
          <w:sz w:val="28"/>
          <w:szCs w:val="28"/>
          <w:u w:val="single"/>
          <w:lang w:val="en-US" w:eastAsia="zh-CN"/>
        </w:rPr>
        <w:t xml:space="preserve">             </w:t>
      </w:r>
      <w:r>
        <w:rPr>
          <w:rFonts w:hint="eastAsia" w:ascii="宋体" w:hAnsi="宋体" w:cs="宋体"/>
          <w:sz w:val="28"/>
          <w:szCs w:val="28"/>
          <w:u w:val="none"/>
        </w:rPr>
        <w:t>；</w:t>
      </w:r>
      <w:r>
        <w:rPr>
          <w:rFonts w:hint="eastAsia" w:ascii="宋体" w:hAnsi="宋体" w:cs="宋体"/>
          <w:sz w:val="28"/>
          <w:szCs w:val="28"/>
        </w:rPr>
        <w:t>联系人：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w:t>
      </w:r>
      <w:r>
        <w:rPr>
          <w:rFonts w:hint="eastAsia" w:ascii="宋体" w:hAnsi="宋体" w:cs="宋体"/>
          <w:sz w:val="28"/>
          <w:szCs w:val="28"/>
        </w:rPr>
        <w:t>联系电话：</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none"/>
        </w:rPr>
        <w:t>。</w:t>
      </w:r>
    </w:p>
    <w:p w14:paraId="5D90CEFF">
      <w:pPr>
        <w:spacing w:line="360" w:lineRule="auto"/>
        <w:ind w:firstLine="560" w:firstLineChars="200"/>
        <w:rPr>
          <w:rFonts w:ascii="宋体" w:hAnsi="宋体" w:cs="宋体"/>
          <w:sz w:val="28"/>
          <w:szCs w:val="28"/>
        </w:rPr>
      </w:pPr>
      <w:r>
        <w:rPr>
          <w:rFonts w:hint="eastAsia" w:ascii="宋体" w:hAnsi="宋体" w:cs="宋体"/>
          <w:sz w:val="28"/>
          <w:szCs w:val="28"/>
        </w:rPr>
        <w:t>双方在履行本合同过程中所发出的函件（包括司法机关发出的法律文书），可直接送达，也可邮寄，邮寄应以特快专递按本合同所列通信地址寄发。按照本合同约定的送达地址进行送达的，由任何人签收均视为当事人签收。受送达人拒收的，不影响送达的效力。从发出之日起第五日视为收到。一方通讯地址发生变动的，应当提前书面通知对方，否则原通讯地址仍有效，按原地址寄发的文件视为成功送达。上述送达地址为诉讼中司法文书的送达地址。</w:t>
      </w:r>
    </w:p>
    <w:p w14:paraId="1761F40A">
      <w:pPr>
        <w:spacing w:line="360" w:lineRule="auto"/>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eastAsia="zh-CN"/>
        </w:rPr>
        <w:t>一</w:t>
      </w:r>
      <w:r>
        <w:rPr>
          <w:rFonts w:hint="eastAsia" w:ascii="宋体" w:hAnsi="宋体" w:cs="宋体"/>
          <w:sz w:val="28"/>
          <w:szCs w:val="28"/>
        </w:rPr>
        <w:t>、签约时间：</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年</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月</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日</w:t>
      </w:r>
      <w:r>
        <w:rPr>
          <w:rFonts w:hint="eastAsia" w:ascii="宋体" w:hAnsi="宋体" w:cs="宋体"/>
          <w:sz w:val="28"/>
          <w:szCs w:val="28"/>
        </w:rPr>
        <w:t>。</w:t>
      </w:r>
    </w:p>
    <w:p w14:paraId="23DBF096">
      <w:pPr>
        <w:spacing w:line="360" w:lineRule="auto"/>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eastAsia="zh-CN"/>
        </w:rPr>
        <w:t>二</w:t>
      </w:r>
      <w:r>
        <w:rPr>
          <w:rFonts w:hint="eastAsia" w:ascii="宋体" w:hAnsi="宋体" w:cs="宋体"/>
          <w:sz w:val="28"/>
          <w:szCs w:val="28"/>
        </w:rPr>
        <w:t>、签约地点：重庆市巴南建设（集团）有限公司。</w:t>
      </w:r>
    </w:p>
    <w:p w14:paraId="47A972DF">
      <w:pPr>
        <w:spacing w:line="360" w:lineRule="auto"/>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eastAsia="zh-CN"/>
        </w:rPr>
        <w:t>三</w:t>
      </w:r>
      <w:r>
        <w:rPr>
          <w:rFonts w:hint="eastAsia" w:ascii="宋体" w:hAnsi="宋体" w:cs="宋体"/>
          <w:sz w:val="28"/>
          <w:szCs w:val="28"/>
        </w:rPr>
        <w:t>、本合同一式</w:t>
      </w:r>
      <w:r>
        <w:rPr>
          <w:rFonts w:hint="eastAsia" w:ascii="宋体" w:hAnsi="宋体" w:cs="宋体"/>
          <w:sz w:val="28"/>
          <w:szCs w:val="28"/>
          <w:lang w:eastAsia="zh-CN"/>
        </w:rPr>
        <w:t>伍</w:t>
      </w:r>
      <w:r>
        <w:rPr>
          <w:rFonts w:hint="eastAsia" w:ascii="宋体" w:hAnsi="宋体" w:cs="宋体"/>
          <w:sz w:val="28"/>
          <w:szCs w:val="28"/>
        </w:rPr>
        <w:t>份，甲</w:t>
      </w:r>
      <w:r>
        <w:rPr>
          <w:rFonts w:hint="eastAsia" w:ascii="宋体" w:hAnsi="宋体" w:cs="宋体"/>
          <w:sz w:val="28"/>
          <w:szCs w:val="28"/>
          <w:lang w:eastAsia="zh-CN"/>
        </w:rPr>
        <w:t>方叁</w:t>
      </w:r>
      <w:r>
        <w:rPr>
          <w:rFonts w:hint="eastAsia" w:ascii="宋体" w:hAnsi="宋体" w:cs="宋体"/>
          <w:sz w:val="28"/>
          <w:szCs w:val="28"/>
        </w:rPr>
        <w:t>份</w:t>
      </w:r>
      <w:r>
        <w:rPr>
          <w:rFonts w:hint="eastAsia" w:ascii="宋体" w:hAnsi="宋体" w:cs="宋体"/>
          <w:sz w:val="28"/>
          <w:szCs w:val="28"/>
          <w:lang w:eastAsia="zh-CN"/>
        </w:rPr>
        <w:t>、</w:t>
      </w:r>
      <w:r>
        <w:rPr>
          <w:rFonts w:hint="eastAsia" w:ascii="宋体" w:hAnsi="宋体" w:cs="宋体"/>
          <w:sz w:val="28"/>
          <w:szCs w:val="28"/>
        </w:rPr>
        <w:t>乙双方</w:t>
      </w:r>
      <w:r>
        <w:rPr>
          <w:rFonts w:hint="eastAsia" w:ascii="宋体" w:hAnsi="宋体" w:cs="宋体"/>
          <w:sz w:val="28"/>
          <w:szCs w:val="28"/>
          <w:lang w:eastAsia="zh-CN"/>
        </w:rPr>
        <w:t>贰份</w:t>
      </w:r>
      <w:r>
        <w:rPr>
          <w:rFonts w:hint="eastAsia" w:ascii="宋体" w:hAnsi="宋体" w:cs="宋体"/>
          <w:sz w:val="28"/>
          <w:szCs w:val="28"/>
        </w:rPr>
        <w:t>，经双方加盖公章后生效，具有同等法律效力。</w:t>
      </w:r>
    </w:p>
    <w:p w14:paraId="46F4D416">
      <w:pPr>
        <w:spacing w:line="640" w:lineRule="exact"/>
        <w:rPr>
          <w:rFonts w:ascii="宋体" w:hAnsi="宋体" w:cs="宋体"/>
          <w:sz w:val="28"/>
          <w:szCs w:val="28"/>
        </w:rPr>
      </w:pPr>
      <w:r>
        <w:rPr>
          <w:rFonts w:hint="eastAsia" w:ascii="宋体" w:hAnsi="宋体" w:cs="宋体"/>
          <w:sz w:val="28"/>
          <w:szCs w:val="28"/>
        </w:rPr>
        <w:t>甲方（盖章）：                                 乙方（盖章）：</w:t>
      </w:r>
    </w:p>
    <w:p w14:paraId="39793A04">
      <w:pPr>
        <w:spacing w:line="640" w:lineRule="exact"/>
        <w:rPr>
          <w:rFonts w:ascii="宋体" w:hAnsi="宋体" w:cs="宋体"/>
          <w:sz w:val="28"/>
          <w:szCs w:val="28"/>
        </w:rPr>
      </w:pPr>
      <w:r>
        <w:rPr>
          <w:rFonts w:hint="eastAsia" w:ascii="宋体" w:hAnsi="宋体" w:cs="宋体"/>
          <w:sz w:val="28"/>
          <w:szCs w:val="28"/>
        </w:rPr>
        <w:t>法定代表人（签字）：                       法定代表人（签字）：</w:t>
      </w:r>
    </w:p>
    <w:p w14:paraId="7AB3861D">
      <w:pPr>
        <w:spacing w:line="640" w:lineRule="exact"/>
        <w:rPr>
          <w:rFonts w:ascii="宋体" w:hAnsi="宋体" w:cs="宋体"/>
          <w:sz w:val="28"/>
          <w:szCs w:val="28"/>
        </w:rPr>
      </w:pPr>
      <w:r>
        <w:rPr>
          <w:rFonts w:hint="eastAsia" w:ascii="宋体" w:hAnsi="宋体" w:cs="宋体"/>
          <w:sz w:val="28"/>
          <w:szCs w:val="28"/>
        </w:rPr>
        <w:t>或经办人（签字）：                           或经办人（签字）：</w:t>
      </w:r>
    </w:p>
    <w:p w14:paraId="542CFE7F">
      <w:pPr>
        <w:spacing w:line="640" w:lineRule="exact"/>
        <w:rPr>
          <w:rFonts w:ascii="宋体" w:hAnsi="宋体" w:cs="宋体"/>
          <w:sz w:val="28"/>
          <w:szCs w:val="28"/>
        </w:rPr>
      </w:pPr>
      <w:r>
        <w:rPr>
          <w:rFonts w:hint="eastAsia" w:ascii="宋体" w:hAnsi="宋体" w:cs="宋体"/>
          <w:sz w:val="28"/>
          <w:szCs w:val="28"/>
        </w:rPr>
        <w:t>日    期：                                      日    期：</w:t>
      </w:r>
    </w:p>
    <w:p w14:paraId="62625239">
      <w:pPr>
        <w:rPr>
          <w:rFonts w:hint="eastAsia"/>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martSimSun">
    <w:altName w:val="宋体"/>
    <w:panose1 w:val="02010600030101010101"/>
    <w:charset w:val="86"/>
    <w:family w:val="auto"/>
    <w:pitch w:val="default"/>
    <w:sig w:usb0="00000000" w:usb1="00000000" w:usb2="00000000"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B7B9">
    <w:pPr>
      <w:spacing w:line="226" w:lineRule="exact"/>
      <w:rPr>
        <w:rFonts w:hint="eastAsia" w:ascii="Times New Roman" w:hAnsi="Times New Roman" w:eastAsia="宋体" w:cs="Times New Roman"/>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00B4A"/>
    <w:multiLevelType w:val="singleLevel"/>
    <w:tmpl w:val="A4200B4A"/>
    <w:lvl w:ilvl="0" w:tentative="0">
      <w:start w:val="1"/>
      <w:numFmt w:val="decimal"/>
      <w:suff w:val="nothing"/>
      <w:lvlText w:val="%1、"/>
      <w:lvlJc w:val="left"/>
    </w:lvl>
  </w:abstractNum>
  <w:abstractNum w:abstractNumId="1">
    <w:nsid w:val="A8E11304"/>
    <w:multiLevelType w:val="singleLevel"/>
    <w:tmpl w:val="A8E11304"/>
    <w:lvl w:ilvl="0" w:tentative="0">
      <w:start w:val="2"/>
      <w:numFmt w:val="chineseCounting"/>
      <w:suff w:val="nothing"/>
      <w:lvlText w:val="%1、"/>
      <w:lvlJc w:val="left"/>
      <w:rPr>
        <w:rFonts w:hint="eastAsia"/>
      </w:rPr>
    </w:lvl>
  </w:abstractNum>
  <w:abstractNum w:abstractNumId="2">
    <w:nsid w:val="BBC43DCA"/>
    <w:multiLevelType w:val="singleLevel"/>
    <w:tmpl w:val="BBC43DCA"/>
    <w:lvl w:ilvl="0" w:tentative="0">
      <w:start w:val="1"/>
      <w:numFmt w:val="decimal"/>
      <w:suff w:val="nothing"/>
      <w:lvlText w:val="%1、"/>
      <w:lvlJc w:val="left"/>
    </w:lvl>
  </w:abstractNum>
  <w:abstractNum w:abstractNumId="3">
    <w:nsid w:val="319B4B50"/>
    <w:multiLevelType w:val="multilevel"/>
    <w:tmpl w:val="319B4B50"/>
    <w:lvl w:ilvl="0" w:tentative="0">
      <w:start w:val="1"/>
      <w:numFmt w:val="japaneseCounting"/>
      <w:lvlText w:val="%1、"/>
      <w:lvlJc w:val="left"/>
      <w:pPr>
        <w:tabs>
          <w:tab w:val="left" w:pos="480"/>
        </w:tabs>
        <w:ind w:left="480" w:hanging="480"/>
      </w:pPr>
      <w:rPr>
        <w:rFonts w:hint="default"/>
      </w:rPr>
    </w:lvl>
    <w:lvl w:ilvl="1" w:tentative="0">
      <w:start w:val="2"/>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D7A8638"/>
    <w:multiLevelType w:val="singleLevel"/>
    <w:tmpl w:val="7D7A8638"/>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0905714"/>
    <w:rsid w:val="022258C7"/>
    <w:rsid w:val="027A5940"/>
    <w:rsid w:val="03244FD8"/>
    <w:rsid w:val="035C5897"/>
    <w:rsid w:val="047E2CCD"/>
    <w:rsid w:val="04934A97"/>
    <w:rsid w:val="05B1163A"/>
    <w:rsid w:val="060B31D6"/>
    <w:rsid w:val="062F07EF"/>
    <w:rsid w:val="063645B2"/>
    <w:rsid w:val="072F6D5A"/>
    <w:rsid w:val="08103F1A"/>
    <w:rsid w:val="084859A3"/>
    <w:rsid w:val="08B93D98"/>
    <w:rsid w:val="0A233052"/>
    <w:rsid w:val="0A9000BA"/>
    <w:rsid w:val="0B465E0B"/>
    <w:rsid w:val="0B4F0E04"/>
    <w:rsid w:val="0BD04822"/>
    <w:rsid w:val="0BFE08C9"/>
    <w:rsid w:val="0C375E99"/>
    <w:rsid w:val="0D0A78C0"/>
    <w:rsid w:val="0D2766C4"/>
    <w:rsid w:val="0D531ECD"/>
    <w:rsid w:val="0E045982"/>
    <w:rsid w:val="0E1779E1"/>
    <w:rsid w:val="0E59300F"/>
    <w:rsid w:val="0E9923D1"/>
    <w:rsid w:val="0F951E4E"/>
    <w:rsid w:val="0FA71D21"/>
    <w:rsid w:val="108654B0"/>
    <w:rsid w:val="10CC47B5"/>
    <w:rsid w:val="11020FDA"/>
    <w:rsid w:val="1157177B"/>
    <w:rsid w:val="116021A5"/>
    <w:rsid w:val="1375441C"/>
    <w:rsid w:val="13C07CD8"/>
    <w:rsid w:val="14397409"/>
    <w:rsid w:val="14F15006"/>
    <w:rsid w:val="15281F45"/>
    <w:rsid w:val="16775683"/>
    <w:rsid w:val="17C8575E"/>
    <w:rsid w:val="18484D2D"/>
    <w:rsid w:val="18711DF1"/>
    <w:rsid w:val="194734A8"/>
    <w:rsid w:val="195A572B"/>
    <w:rsid w:val="19782558"/>
    <w:rsid w:val="1A670100"/>
    <w:rsid w:val="1AD03EF7"/>
    <w:rsid w:val="1B7B7C62"/>
    <w:rsid w:val="1C6D37B2"/>
    <w:rsid w:val="1D0862C4"/>
    <w:rsid w:val="1D4F3C94"/>
    <w:rsid w:val="1E1660C5"/>
    <w:rsid w:val="1E5F2FCD"/>
    <w:rsid w:val="1EAD059A"/>
    <w:rsid w:val="1F443106"/>
    <w:rsid w:val="1F702277"/>
    <w:rsid w:val="22142CD7"/>
    <w:rsid w:val="222D60D3"/>
    <w:rsid w:val="22C16148"/>
    <w:rsid w:val="22ED07D6"/>
    <w:rsid w:val="2329338C"/>
    <w:rsid w:val="248D136A"/>
    <w:rsid w:val="258E6E89"/>
    <w:rsid w:val="26D5191A"/>
    <w:rsid w:val="27CB6172"/>
    <w:rsid w:val="27ED433A"/>
    <w:rsid w:val="299802D6"/>
    <w:rsid w:val="2ACC441F"/>
    <w:rsid w:val="2B255B99"/>
    <w:rsid w:val="2C5F157F"/>
    <w:rsid w:val="2D223156"/>
    <w:rsid w:val="2D43072C"/>
    <w:rsid w:val="2E3A5D54"/>
    <w:rsid w:val="2E717677"/>
    <w:rsid w:val="2F30194A"/>
    <w:rsid w:val="2FB219C5"/>
    <w:rsid w:val="30146243"/>
    <w:rsid w:val="30B646E0"/>
    <w:rsid w:val="30EE052C"/>
    <w:rsid w:val="315E1705"/>
    <w:rsid w:val="31C14142"/>
    <w:rsid w:val="32FE1331"/>
    <w:rsid w:val="33086BB0"/>
    <w:rsid w:val="33124615"/>
    <w:rsid w:val="343B6E3A"/>
    <w:rsid w:val="361129B7"/>
    <w:rsid w:val="369D3C9F"/>
    <w:rsid w:val="37491AF0"/>
    <w:rsid w:val="38AE64AA"/>
    <w:rsid w:val="38F940FF"/>
    <w:rsid w:val="391D25A6"/>
    <w:rsid w:val="3AB37852"/>
    <w:rsid w:val="3BB019F4"/>
    <w:rsid w:val="3C641028"/>
    <w:rsid w:val="3CF326B0"/>
    <w:rsid w:val="3D2E4140"/>
    <w:rsid w:val="3D321F14"/>
    <w:rsid w:val="3DD671C7"/>
    <w:rsid w:val="3E553570"/>
    <w:rsid w:val="3E9C440D"/>
    <w:rsid w:val="3EC547BE"/>
    <w:rsid w:val="3EE80987"/>
    <w:rsid w:val="3F6D76B7"/>
    <w:rsid w:val="3F79605C"/>
    <w:rsid w:val="40170548"/>
    <w:rsid w:val="407C22A8"/>
    <w:rsid w:val="40C33A7E"/>
    <w:rsid w:val="416C5E78"/>
    <w:rsid w:val="41EE21D7"/>
    <w:rsid w:val="44071E88"/>
    <w:rsid w:val="45843476"/>
    <w:rsid w:val="45F134A2"/>
    <w:rsid w:val="48FA645F"/>
    <w:rsid w:val="49E63FBC"/>
    <w:rsid w:val="4A022DB8"/>
    <w:rsid w:val="4A5D4498"/>
    <w:rsid w:val="4AC324AC"/>
    <w:rsid w:val="4B5A0085"/>
    <w:rsid w:val="4B8714A6"/>
    <w:rsid w:val="4C6A56AA"/>
    <w:rsid w:val="4CE658C2"/>
    <w:rsid w:val="4D744DC4"/>
    <w:rsid w:val="5117514C"/>
    <w:rsid w:val="51866B4A"/>
    <w:rsid w:val="52157ED4"/>
    <w:rsid w:val="523770E2"/>
    <w:rsid w:val="53741AD4"/>
    <w:rsid w:val="549A1100"/>
    <w:rsid w:val="55296276"/>
    <w:rsid w:val="555941EB"/>
    <w:rsid w:val="556C2493"/>
    <w:rsid w:val="573C5E95"/>
    <w:rsid w:val="579A36A5"/>
    <w:rsid w:val="581A4287"/>
    <w:rsid w:val="58ED7447"/>
    <w:rsid w:val="59254E33"/>
    <w:rsid w:val="59B01386"/>
    <w:rsid w:val="5A4E660B"/>
    <w:rsid w:val="5B134FDA"/>
    <w:rsid w:val="5B50025D"/>
    <w:rsid w:val="5D8518FA"/>
    <w:rsid w:val="5DA558E5"/>
    <w:rsid w:val="5DBF1D24"/>
    <w:rsid w:val="5DFF6F2B"/>
    <w:rsid w:val="5ED3005D"/>
    <w:rsid w:val="5F205A3C"/>
    <w:rsid w:val="5FFB4B3F"/>
    <w:rsid w:val="60194B08"/>
    <w:rsid w:val="6091220E"/>
    <w:rsid w:val="60A631F9"/>
    <w:rsid w:val="611070E8"/>
    <w:rsid w:val="611F660B"/>
    <w:rsid w:val="62BE6BF4"/>
    <w:rsid w:val="63786C67"/>
    <w:rsid w:val="63BC45E5"/>
    <w:rsid w:val="64333D5F"/>
    <w:rsid w:val="64490EDB"/>
    <w:rsid w:val="653341BB"/>
    <w:rsid w:val="654011F8"/>
    <w:rsid w:val="65B311E1"/>
    <w:rsid w:val="65E52572"/>
    <w:rsid w:val="66632DB5"/>
    <w:rsid w:val="66CD4D5B"/>
    <w:rsid w:val="67F171E5"/>
    <w:rsid w:val="683A194D"/>
    <w:rsid w:val="686C341A"/>
    <w:rsid w:val="697D7D7A"/>
    <w:rsid w:val="6B151DC0"/>
    <w:rsid w:val="6CEA69A8"/>
    <w:rsid w:val="6D1C788E"/>
    <w:rsid w:val="6DB4632D"/>
    <w:rsid w:val="708C5A36"/>
    <w:rsid w:val="708D7834"/>
    <w:rsid w:val="70E138DD"/>
    <w:rsid w:val="736F0C58"/>
    <w:rsid w:val="74933FD6"/>
    <w:rsid w:val="781B448B"/>
    <w:rsid w:val="78A51694"/>
    <w:rsid w:val="78E0447A"/>
    <w:rsid w:val="79A463A3"/>
    <w:rsid w:val="79C312C8"/>
    <w:rsid w:val="7ABB0CFB"/>
    <w:rsid w:val="7B0B0CD0"/>
    <w:rsid w:val="7B6A6305"/>
    <w:rsid w:val="7CAD78C0"/>
    <w:rsid w:val="7CE968EA"/>
    <w:rsid w:val="7E4F77C2"/>
    <w:rsid w:val="7E952C57"/>
    <w:rsid w:val="7EA00324"/>
    <w:rsid w:val="7ECE1FFF"/>
    <w:rsid w:val="7EE822DB"/>
    <w:rsid w:val="7F1C5373"/>
    <w:rsid w:val="7F3219DF"/>
    <w:rsid w:val="7F3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Body Text 2"/>
    <w:basedOn w:val="1"/>
    <w:qFormat/>
    <w:uiPriority w:val="0"/>
    <w:pPr>
      <w:spacing w:line="360" w:lineRule="exact"/>
      <w:ind w:firstLine="200" w:firstLineChars="200"/>
      <w:jc w:val="center"/>
    </w:pPr>
    <w:rPr>
      <w:sz w:val="24"/>
    </w:rPr>
  </w:style>
  <w:style w:type="paragraph" w:styleId="10">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1">
    <w:name w:val="Body Text First Indent"/>
    <w:basedOn w:val="5"/>
    <w:next w:val="1"/>
    <w:qFormat/>
    <w:uiPriority w:val="0"/>
    <w:pPr>
      <w:spacing w:line="360" w:lineRule="auto"/>
      <w:ind w:firstLine="420"/>
    </w:pPr>
    <w:rPr>
      <w:rFonts w:ascii="宋体" w:hAnsi="宋体"/>
      <w:sz w:val="24"/>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文章正文"/>
    <w:basedOn w:val="1"/>
    <w:next w:val="1"/>
    <w:qFormat/>
    <w:uiPriority w:val="0"/>
    <w:pPr>
      <w:spacing w:line="360" w:lineRule="auto"/>
      <w:ind w:firstLine="480"/>
    </w:pPr>
    <w:rPr>
      <w:rFonts w:hAnsi="宋体" w:eastAsia="宋体" w:cs="宋体"/>
      <w:sz w:val="24"/>
    </w:rPr>
  </w:style>
  <w:style w:type="paragraph" w:customStyle="1" w:styleId="17">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8">
    <w:name w:val="1.正文"/>
    <w:basedOn w:val="1"/>
    <w:qFormat/>
    <w:uiPriority w:val="0"/>
    <w:pPr>
      <w:spacing w:line="360" w:lineRule="auto"/>
      <w:ind w:left="540" w:leftChars="225" w:firstLine="540" w:firstLineChars="225"/>
    </w:pPr>
    <w:rPr>
      <w:sz w:val="24"/>
    </w:rPr>
  </w:style>
  <w:style w:type="character" w:customStyle="1" w:styleId="19">
    <w:name w:val="font81"/>
    <w:basedOn w:val="13"/>
    <w:qFormat/>
    <w:uiPriority w:val="0"/>
    <w:rPr>
      <w:rFonts w:hint="eastAsia" w:ascii="宋体" w:hAnsi="宋体" w:eastAsia="宋体" w:cs="宋体"/>
      <w:color w:val="000000"/>
      <w:sz w:val="22"/>
      <w:szCs w:val="22"/>
      <w:u w:val="none"/>
    </w:rPr>
  </w:style>
  <w:style w:type="character" w:customStyle="1" w:styleId="20">
    <w:name w:val="font51"/>
    <w:basedOn w:val="13"/>
    <w:qFormat/>
    <w:uiPriority w:val="0"/>
    <w:rPr>
      <w:rFonts w:ascii="宋体" w:hAnsi="宋体" w:eastAsia="宋体" w:cs="宋体"/>
      <w:color w:val="000000"/>
      <w:sz w:val="22"/>
      <w:szCs w:val="22"/>
      <w:u w:val="none"/>
    </w:rPr>
  </w:style>
  <w:style w:type="character" w:customStyle="1" w:styleId="21">
    <w:name w:val="font61"/>
    <w:basedOn w:val="13"/>
    <w:qFormat/>
    <w:uiPriority w:val="0"/>
    <w:rPr>
      <w:rFonts w:ascii="宋体" w:hAnsi="宋体" w:eastAsia="宋体" w:cs="宋体"/>
      <w:color w:val="000000"/>
      <w:sz w:val="22"/>
      <w:szCs w:val="22"/>
      <w:u w:val="none"/>
    </w:rPr>
  </w:style>
  <w:style w:type="character" w:customStyle="1" w:styleId="22">
    <w:name w:val="font101"/>
    <w:basedOn w:val="13"/>
    <w:qFormat/>
    <w:uiPriority w:val="0"/>
    <w:rPr>
      <w:rFonts w:hint="eastAsia" w:ascii="宋体" w:hAnsi="宋体" w:eastAsia="宋体" w:cs="宋体"/>
      <w:color w:val="000000"/>
      <w:sz w:val="22"/>
      <w:szCs w:val="22"/>
      <w:u w:val="none"/>
    </w:rPr>
  </w:style>
  <w:style w:type="paragraph" w:customStyle="1" w:styleId="23">
    <w:name w:val="_Style 4"/>
    <w:basedOn w:val="2"/>
    <w:next w:val="1"/>
    <w:qFormat/>
    <w:uiPriority w:val="39"/>
    <w:pPr>
      <w:outlineLvl w:val="9"/>
    </w:pPr>
  </w:style>
  <w:style w:type="paragraph" w:styleId="24">
    <w:name w:val="List Paragraph"/>
    <w:basedOn w:val="1"/>
    <w:unhideWhenUsed/>
    <w:qFormat/>
    <w:uiPriority w:val="99"/>
    <w:pPr>
      <w:ind w:firstLine="420" w:firstLineChars="200"/>
    </w:pPr>
  </w:style>
  <w:style w:type="character" w:customStyle="1" w:styleId="25">
    <w:name w:val="font71"/>
    <w:basedOn w:val="13"/>
    <w:qFormat/>
    <w:uiPriority w:val="0"/>
    <w:rPr>
      <w:rFonts w:ascii="MS Sans Serif" w:hAnsi="MS Sans Serif" w:eastAsia="MS Sans Serif" w:cs="MS Sans Serif"/>
      <w:color w:val="000000"/>
      <w:sz w:val="22"/>
      <w:szCs w:val="22"/>
      <w:u w:val="none"/>
    </w:rPr>
  </w:style>
  <w:style w:type="character" w:customStyle="1" w:styleId="26">
    <w:name w:val="font41"/>
    <w:basedOn w:val="13"/>
    <w:qFormat/>
    <w:uiPriority w:val="0"/>
    <w:rPr>
      <w:rFonts w:hint="eastAsia" w:ascii="宋体" w:hAnsi="宋体" w:eastAsia="宋体" w:cs="宋体"/>
      <w:color w:val="000000"/>
      <w:sz w:val="18"/>
      <w:szCs w:val="18"/>
      <w:u w:val="none"/>
    </w:rPr>
  </w:style>
  <w:style w:type="character" w:customStyle="1" w:styleId="27">
    <w:name w:val="font31"/>
    <w:basedOn w:val="13"/>
    <w:qFormat/>
    <w:uiPriority w:val="0"/>
    <w:rPr>
      <w:rFonts w:hint="eastAsia" w:ascii="smartSimSun" w:hAnsi="smartSimSun" w:eastAsia="smartSimSun" w:cs="smartSimSun"/>
      <w:color w:val="000000"/>
      <w:sz w:val="18"/>
      <w:szCs w:val="18"/>
      <w:u w:val="none"/>
    </w:rPr>
  </w:style>
  <w:style w:type="character" w:customStyle="1" w:styleId="28">
    <w:name w:val="w32"/>
    <w:basedOn w:val="13"/>
    <w:qFormat/>
    <w:uiPriority w:val="0"/>
  </w:style>
  <w:style w:type="character" w:customStyle="1" w:styleId="29">
    <w:name w:val="pagechatarealistclose_box"/>
    <w:basedOn w:val="13"/>
    <w:qFormat/>
    <w:uiPriority w:val="0"/>
  </w:style>
  <w:style w:type="character" w:customStyle="1" w:styleId="30">
    <w:name w:val="pagechatarealistclose_box1"/>
    <w:basedOn w:val="13"/>
    <w:qFormat/>
    <w:uiPriority w:val="0"/>
  </w:style>
  <w:style w:type="character" w:customStyle="1" w:styleId="31">
    <w:name w:val="after"/>
    <w:basedOn w:val="13"/>
    <w:qFormat/>
    <w:uiPriority w:val="0"/>
    <w:rPr>
      <w:sz w:val="0"/>
      <w:szCs w:val="0"/>
    </w:rPr>
  </w:style>
  <w:style w:type="character" w:customStyle="1" w:styleId="32">
    <w:name w:val="icontext1"/>
    <w:basedOn w:val="13"/>
    <w:qFormat/>
    <w:uiPriority w:val="0"/>
  </w:style>
  <w:style w:type="character" w:customStyle="1" w:styleId="33">
    <w:name w:val="icontext11"/>
    <w:basedOn w:val="13"/>
    <w:qFormat/>
    <w:uiPriority w:val="0"/>
  </w:style>
  <w:style w:type="character" w:customStyle="1" w:styleId="34">
    <w:name w:val="icontext12"/>
    <w:basedOn w:val="13"/>
    <w:qFormat/>
    <w:uiPriority w:val="0"/>
  </w:style>
  <w:style w:type="character" w:customStyle="1" w:styleId="35">
    <w:name w:val="icontext2"/>
    <w:basedOn w:val="13"/>
    <w:qFormat/>
    <w:uiPriority w:val="0"/>
  </w:style>
  <w:style w:type="character" w:customStyle="1" w:styleId="36">
    <w:name w:val="tmpztreemove_arrow"/>
    <w:basedOn w:val="13"/>
    <w:qFormat/>
    <w:uiPriority w:val="0"/>
  </w:style>
  <w:style w:type="character" w:customStyle="1" w:styleId="37">
    <w:name w:val="cy"/>
    <w:basedOn w:val="13"/>
    <w:qFormat/>
    <w:uiPriority w:val="0"/>
  </w:style>
  <w:style w:type="character" w:customStyle="1" w:styleId="38">
    <w:name w:val="button"/>
    <w:basedOn w:val="13"/>
    <w:qFormat/>
    <w:uiPriority w:val="0"/>
  </w:style>
  <w:style w:type="character" w:customStyle="1" w:styleId="39">
    <w:name w:val="icontext3"/>
    <w:basedOn w:val="13"/>
    <w:qFormat/>
    <w:uiPriority w:val="0"/>
  </w:style>
  <w:style w:type="character" w:customStyle="1" w:styleId="40">
    <w:name w:val="active7"/>
    <w:basedOn w:val="13"/>
    <w:qFormat/>
    <w:uiPriority w:val="0"/>
    <w:rPr>
      <w:color w:val="00FF00"/>
      <w:shd w:val="clear" w:fill="111111"/>
    </w:rPr>
  </w:style>
  <w:style w:type="character" w:customStyle="1" w:styleId="41">
    <w:name w:val="active8"/>
    <w:basedOn w:val="13"/>
    <w:qFormat/>
    <w:uiPriority w:val="0"/>
    <w:rPr>
      <w:shd w:val="clear" w:fill="EC3535"/>
    </w:rPr>
  </w:style>
  <w:style w:type="character" w:customStyle="1" w:styleId="42">
    <w:name w:val="hilite6"/>
    <w:basedOn w:val="13"/>
    <w:qFormat/>
    <w:uiPriority w:val="0"/>
    <w:rPr>
      <w:color w:val="FFFFFF"/>
      <w:shd w:val="clear" w:fill="666666"/>
    </w:rPr>
  </w:style>
  <w:style w:type="character" w:customStyle="1" w:styleId="43">
    <w:name w:val="ico1654"/>
    <w:basedOn w:val="13"/>
    <w:qFormat/>
    <w:uiPriority w:val="0"/>
  </w:style>
  <w:style w:type="character" w:customStyle="1" w:styleId="44">
    <w:name w:val="ico1655"/>
    <w:basedOn w:val="13"/>
    <w:qFormat/>
    <w:uiPriority w:val="0"/>
  </w:style>
  <w:style w:type="character" w:customStyle="1" w:styleId="45">
    <w:name w:val="iconline2"/>
    <w:basedOn w:val="13"/>
    <w:qFormat/>
    <w:uiPriority w:val="0"/>
  </w:style>
  <w:style w:type="character" w:customStyle="1" w:styleId="46">
    <w:name w:val="iconline21"/>
    <w:basedOn w:val="13"/>
    <w:qFormat/>
    <w:uiPriority w:val="0"/>
  </w:style>
  <w:style w:type="character" w:customStyle="1" w:styleId="47">
    <w:name w:val="associateddata"/>
    <w:basedOn w:val="13"/>
    <w:qFormat/>
    <w:uiPriority w:val="0"/>
    <w:rPr>
      <w:shd w:val="clear" w:fill="50A6F9"/>
    </w:rPr>
  </w:style>
  <w:style w:type="character" w:customStyle="1" w:styleId="48">
    <w:name w:val="drapbtn"/>
    <w:basedOn w:val="13"/>
    <w:qFormat/>
    <w:uiPriority w:val="0"/>
  </w:style>
  <w:style w:type="character" w:customStyle="1" w:styleId="49">
    <w:name w:val="cdropright"/>
    <w:basedOn w:val="13"/>
    <w:qFormat/>
    <w:uiPriority w:val="0"/>
  </w:style>
  <w:style w:type="character" w:customStyle="1" w:styleId="50">
    <w:name w:val="cdropleft"/>
    <w:basedOn w:val="13"/>
    <w:qFormat/>
    <w:uiPriority w:val="0"/>
  </w:style>
  <w:style w:type="character" w:customStyle="1" w:styleId="51">
    <w:name w:val="layui-layer-tabnow"/>
    <w:basedOn w:val="13"/>
    <w:qFormat/>
    <w:uiPriority w:val="0"/>
    <w:rPr>
      <w:bdr w:val="single" w:color="CCCCCC" w:sz="6" w:space="0"/>
      <w:shd w:val="clear" w:fill="FFFFFF"/>
    </w:rPr>
  </w:style>
  <w:style w:type="character" w:customStyle="1" w:styleId="52">
    <w:name w:val="first-child"/>
    <w:basedOn w:val="13"/>
    <w:qFormat/>
    <w:uiPriority w:val="0"/>
  </w:style>
  <w:style w:type="character" w:customStyle="1" w:styleId="53">
    <w:name w:val="active5"/>
    <w:basedOn w:val="13"/>
    <w:qFormat/>
    <w:uiPriority w:val="0"/>
    <w:rPr>
      <w:color w:val="00FF00"/>
      <w:shd w:val="clear" w:fill="111111"/>
    </w:rPr>
  </w:style>
  <w:style w:type="character" w:customStyle="1" w:styleId="54">
    <w:name w:val="active6"/>
    <w:basedOn w:val="13"/>
    <w:qFormat/>
    <w:uiPriority w:val="0"/>
    <w:rPr>
      <w:shd w:val="clear" w:fill="EC3535"/>
    </w:rPr>
  </w:style>
  <w:style w:type="character" w:customStyle="1" w:styleId="55">
    <w:name w:val="button4"/>
    <w:basedOn w:val="13"/>
    <w:qFormat/>
    <w:uiPriority w:val="0"/>
  </w:style>
  <w:style w:type="paragraph" w:customStyle="1" w:styleId="56">
    <w:name w:val="Table Text"/>
    <w:basedOn w:val="1"/>
    <w:semiHidden/>
    <w:qFormat/>
    <w:uiPriority w:val="0"/>
    <w:rPr>
      <w:rFonts w:ascii="宋体" w:hAnsi="宋体" w:eastAsia="宋体" w:cs="宋体"/>
      <w:sz w:val="24"/>
      <w:szCs w:val="24"/>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2179</Words>
  <Characters>2399</Characters>
  <Lines>0</Lines>
  <Paragraphs>0</Paragraphs>
  <TotalTime>17</TotalTime>
  <ScaleCrop>false</ScaleCrop>
  <LinksUpToDate>false</LinksUpToDate>
  <CharactersWithSpaces>2745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cp:lastPrinted>2025-03-20T06:11:00Z</cp:lastPrinted>
  <dcterms:modified xsi:type="dcterms:W3CDTF">2025-05-20T03:22:12Z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CC4A8F0DB6624FEBB741B861185CA1EB_13</vt:lpwstr>
  </property>
  <property fmtid="{D5CDD505-2E9C-101B-9397-08002B2CF9AE}" pid="4" name="KSOTemplateDocerSaveRecord">
    <vt:lpwstr>eyJoZGlkIjoiZDdlMDk4ZjczZjM4NmUwNmUwODAxYWRmYTE1ODJiZjIiLCJ1c2VySWQiOiIyMjg2NTc0NTcifQ==</vt:lpwstr>
  </property>
</Properties>
</file>